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Bitcoin Market Sentiment vs Trader Performance Analysis</w:t>
      </w:r>
    </w:p>
    <w:p>
      <w:pPr>
        <w:pStyle w:val="Heading1"/>
      </w:pPr>
      <w:r>
        <w:t>Executive Summary</w:t>
      </w:r>
    </w:p>
    <w:p>
      <w:r>
        <w:t>This project investigates the relationship between Bitcoin market sentiment and trader performance using the Fear &amp; Greed Index and Hyperliquid historical trading data. A total of 211,224 trades were analyzed and merged with daily sentiment classifications. The analysis focused on profitability, win rate, trading activity, trade sizing, and trader behavior under different sentiment regimes.</w:t>
        <w:br/>
        <w:br/>
        <w:t>Results indicate that profitability was highest during Extreme Greed conditions, while trading activity and average trade size were highest during Fear conditions. Top traders consistently outperformed the broader trader population across all sentiment categories.</w:t>
      </w:r>
    </w:p>
    <w:p>
      <w:pPr>
        <w:pStyle w:val="Heading1"/>
      </w:pPr>
      <w:r>
        <w:t>Key Findings</w:t>
      </w:r>
    </w:p>
    <w:p>
      <w:r>
        <w:t>1. Extreme Greed produced the highest average profitability.</w:t>
        <w:br/>
        <w:t>2. Fear periods generated the highest trading activity.</w:t>
        <w:br/>
        <w:t>3. Average trade sizes were largest during Fear conditions.</w:t>
        <w:br/>
        <w:t>4. Win rates remained below 50% across all sentiment categories.</w:t>
        <w:br/>
        <w:t>5. Top traders significantly outperformed average traders.</w:t>
        <w:br/>
        <w:t>6. PnL distributions contained large positive outliers, suggesting a small number of highly profitable trades contribute heavily to total profitability.</w:t>
      </w:r>
    </w:p>
    <w:p>
      <w:pPr>
        <w:pStyle w:val="Heading1"/>
      </w:pPr>
      <w:r>
        <w:t>Conclusion</w:t>
      </w:r>
    </w:p>
    <w:p>
      <w:r>
        <w:t>Market sentiment influences trading outcomes, but sentiment alone does not explain trader success. Extreme Greed was associated with the highest profits, while Fear produced the highest participation and capital deployment. Elite traders outperformed across all market conditions, highlighting the importance of skill, risk management, and execution quality.</w:t>
      </w:r>
    </w:p>
    <w:p>
      <w:pPr>
        <w:pStyle w:val="Heading1"/>
      </w:pPr>
      <w:r>
        <w:t>Resume Project Description</w:t>
      </w:r>
    </w:p>
    <w:p>
      <w:r>
        <w:t>Bitcoin Market Sentiment and Trader Performance Analysis | Python, Pandas, NumPy, Matplotlib, Seaborn</w:t>
        <w:br/>
        <w:br/>
        <w:t>• Analyzed 211,224 cryptocurrency trading records and 2,644 Fear &amp; Greed observations.</w:t>
        <w:br/>
        <w:t>• Merged sentiment and trading datasets to evaluate profitability across market regimes.</w:t>
        <w:br/>
        <w:t>• Performed profitability, win-rate, trade-size, activity, and behavioral analysis.</w:t>
        <w:br/>
        <w:t>• Conducted top-trader segmentation and PnL distribution analysis.</w:t>
        <w:br/>
        <w:t>• Generated actionable insights for sentiment-aware trading strategies.</w:t>
      </w:r>
    </w:p>
    <w:p>
      <w:pPr>
        <w:pStyle w:val="Heading1"/>
      </w:pPr>
      <w:r>
        <w:t>Suggested PDF Structure</w:t>
      </w:r>
    </w:p>
    <w:p>
      <w:r>
        <w:t>1. Introduction</w:t>
        <w:br/>
        <w:t>2. Dataset Overview</w:t>
        <w:br/>
        <w:t>3. Data Preprocessing</w:t>
        <w:br/>
        <w:t>4. Exploratory Data Analysis</w:t>
        <w:br/>
        <w:t>5. Top Trader Analysis</w:t>
        <w:br/>
        <w:t>6. Key Findings</w:t>
        <w:br/>
        <w:t>7. Conclusion</w:t>
        <w:br/>
        <w:t>8. Future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