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SwipeAuctions — User Flow</w:t>
      </w:r>
    </w:p>
    <w:p>
      <w:pPr>
        <w:spacing w:after="800"/>
        <w:jc w:val="center"/>
      </w:pPr>
      <w:r>
        <w:rPr>
          <w:color w:val="444444"/>
          <w:sz w:val="30"/>
          <w:szCs w:val="30"/>
        </w:rPr>
        <w:t xml:space="preserve">End-to-end guide to buying, selling, and bidding on the platform</w:t>
      </w:r>
    </w:p>
    <w:p>
      <w:pPr>
        <w:jc w:val="center"/>
      </w:pPr>
      <w:r>
        <w:rPr>
          <w:i/>
          <w:iCs/>
          <w:color w:val="666666"/>
          <w:sz w:val="22"/>
          <w:szCs w:val="22"/>
        </w:rPr>
        <w:t xml:space="preserve">Buyer &amp; seller reference document · generated 2026-08-05</w:t>
      </w:r>
    </w:p>
    <w:p>
      <w:r>
        <w:br w:type="page"/>
      </w:r>
    </w:p>
    <w:p>
      <w:pPr>
        <w:pStyle w:val="Heading1"/>
        <w:pBdr>
          <w:bottom w:val="single" w:color="1F4E79" w:sz="6" w:space="4"/>
        </w:pBdr>
        <w:spacing w:after="200" w:before="480"/>
      </w:pPr>
      <w:r>
        <w:rPr>
          <w:b/>
          <w:bCs/>
          <w:color w:val="1F4E79"/>
        </w:rPr>
        <w:t xml:space="preserve">1. What SwipeAuctions Is</w:t>
      </w:r>
    </w:p>
    <w:p>
      <w:pPr>
        <w:spacing w:after="160"/>
      </w:pPr>
      <w:r>
        <w:t xml:space="preserve">SwipeAuctions is a live online auction marketplace. You can browse items across categories — Bank Vehicles, Insurance (salvage), Auto, Vehicles, Electronics, Premium, and Properties — and bid on them in real time until the auction closes, or list your own items for other users to bid on. There’s also a dedicated "Swipe Stock" section for items the platform itself sources and lists.</w:t>
      </w:r>
    </w:p>
    <w:p>
      <w:pPr>
        <w:spacing w:after="160"/>
      </w:pPr>
      <w:r>
        <w:t xml:space="preserve">Every account is the same type — there is no separate "buyer" or "seller" account. You can list your own items and bid on other people’s items from the same account, subject to the verification and wallet rules explained below.</w:t>
      </w:r>
    </w:p>
    <w:p>
      <w:pPr>
        <w:spacing w:after="160"/>
      </w:pPr>
      <w:r>
        <w:t xml:space="preserve">For Bank Vehicles, Insurance, Premium, and Auto items specifically, listings are often grouped into named "Events" (e.g. one bank’s weekly repo auction) — you browse the event first, then the items inside it.</w:t>
      </w:r>
    </w:p>
    <w:p>
      <w:pPr>
        <w:pStyle w:val="Heading1"/>
        <w:pBdr>
          <w:bottom w:val="single" w:color="1F4E79" w:sz="6" w:space="4"/>
        </w:pBdr>
        <w:spacing w:after="200" w:before="480"/>
      </w:pPr>
      <w:r>
        <w:rPr>
          <w:b/>
          <w:bCs/>
          <w:color w:val="1F4E79"/>
        </w:rPr>
        <w:t xml:space="preserve">2. Getting Started</w:t>
      </w:r>
    </w:p>
    <w:p>
      <w:pPr>
        <w:pStyle w:val="Heading3"/>
        <w:spacing w:after="100" w:before="220"/>
      </w:pPr>
      <w:r>
        <w:rPr>
          <w:b/>
          <w:bCs/>
          <w:color w:val="333333"/>
        </w:rPr>
        <w:t xml:space="preserve">2.1 Sign up</w:t>
      </w:r>
    </w:p>
    <w:p>
      <w:pPr>
        <w:spacing w:after="160"/>
      </w:pPr>
      <w:r>
        <w:t xml:space="preserve">Register with an email and mobile number, and choose whether you’re signing up as a regular user or a dealer (dealers get one special exemption, covered in Section 5). You’ll be sent a one-time verification code to confirm your email (and mobile, if mobile verification is turned on) — codes expire after 10 minutes and you get up to 5 attempts before you need to request a new one.</w:t>
      </w:r>
    </w:p>
    <w:p>
      <w:pPr>
        <w:pStyle w:val="Heading3"/>
        <w:spacing w:after="100" w:before="220"/>
      </w:pPr>
      <w:r>
        <w:rPr>
          <w:b/>
          <w:bCs/>
          <w:color w:val="333333"/>
        </w:rPr>
        <w:t xml:space="preserve">2.2 Registration fee</w:t>
      </w:r>
    </w:p>
    <w:p>
      <w:pPr>
        <w:spacing w:after="160"/>
      </w:pPr>
      <w:r>
        <w:t xml:space="preserve">Before you can register to bid on anything, you need to pay a one-time registration fee (the amount is set by the platform and shown to you at this step). This is separate from your wallet balance and is not refundable through the bidding process.</w:t>
      </w:r>
    </w:p>
    <w:p>
      <w:pPr>
        <w:pStyle w:val="Heading3"/>
        <w:spacing w:after="100" w:before="220"/>
      </w:pPr>
      <w:r>
        <w:rPr>
          <w:b/>
          <w:bCs/>
          <w:color w:val="333333"/>
        </w:rPr>
        <w:t xml:space="preserve">2.3 KYC (identity verification)</w:t>
      </w:r>
    </w:p>
    <w:p>
      <w:pPr>
        <w:spacing w:after="160"/>
      </w:pPr>
      <w:r>
        <w:t xml:space="preserve">You’ll need to submit your name, date of birth, gender, address, and ID numbers (Aadhaar/PAN — only the last 4 digits are ever stored) for review. KYC approval is required before you can either list an item for sale or register to bid on one — an admin reviews and approves or rejects each submission.</w:t>
      </w:r>
    </w:p>
    <w:p>
      <w:pPr>
        <w:pStyle w:val="Heading3"/>
        <w:spacing w:after="100" w:before="220"/>
      </w:pPr>
      <w:r>
        <w:rPr>
          <w:b/>
          <w:bCs/>
          <w:color w:val="333333"/>
        </w:rPr>
        <w:t xml:space="preserve">2.4 Referral program</w:t>
      </w:r>
    </w:p>
    <w:p>
      <w:pPr>
        <w:spacing w:after="160"/>
      </w:pPr>
      <w:r>
        <w:t xml:space="preserve">Every account has a personal invite link. When someone signs up through your link and later makes a single qualifying deposit into their wallet (at least a minimum amount set by the platform), you receive a cash bonus credited to your own wallet. You can track your invite stats — how many people you’ve referred, how many converted, and how much you’ve earned — from your profile.</w:t>
      </w:r>
    </w:p>
    <w:tbl>
      <w:tblPr>
        <w:tblW w:type="pct" w:w="100%"/>
        <w:tblBorders>
          <w:top w:val="single" w:color="D9A400" w:sz="4"/>
          <w:left w:val="single" w:color="D9A400" w:sz="4"/>
          <w:bottom w:val="single" w:color="D9A400" w:sz="4"/>
          <w:right w:val="single" w:color="D9A400" w:sz="4"/>
          <w:insideH w:val="single" w:color="D9A400" w:sz="4"/>
          <w:insideV w:val="single" w:color="D9A400" w:sz="4"/>
        </w:tblBorders>
      </w:tblPr>
      <w:tblGrid>
        <w:gridCol w:w="100"/>
      </w:tblGrid>
      <w:tr>
        <w:tc>
          <w:tcPr>
            <w:shd w:fill="FFF4CE" w:val="clear"/>
            <w:tcMar>
              <w:top w:type="dxa" w:w="120"/>
              <w:left w:type="dxa" w:w="160"/>
              <w:bottom w:type="dxa" w:w="120"/>
              <w:right w:type="dxa" w:w="160"/>
            </w:tcMar>
          </w:tcPr>
          <w:p>
            <w:pPr>
              <w:spacing w:after="60"/>
            </w:pPr>
            <w:r>
              <w:rPr>
                <w:b/>
                <w:bCs/>
                <w:color w:val="7A5B00"/>
              </w:rPr>
              <w:t xml:space="preserve">Note</w:t>
            </w:r>
          </w:p>
          <w:p>
            <w:pPr>
              <w:spacing w:after="40"/>
            </w:pPr>
            <w:r>
              <w:rPr>
                <w:color w:val="4A3A00"/>
              </w:rPr>
              <w:t xml:space="preserve">The referral bonus triggers on one single top-up meeting the minimum amount — several smaller top-ups that add up to the minimum do not trigger it.</w:t>
            </w:r>
          </w:p>
        </w:tc>
      </w:tr>
    </w:tbl>
    <w:p>
      <w:pPr>
        <w:pStyle w:val="Heading1"/>
        <w:pBdr>
          <w:bottom w:val="single" w:color="1F4E79" w:sz="6" w:space="4"/>
        </w:pBdr>
        <w:spacing w:after="200" w:before="480"/>
      </w:pPr>
      <w:r>
        <w:rPr>
          <w:b/>
          <w:bCs/>
          <w:color w:val="1F4E79"/>
        </w:rPr>
        <w:t xml:space="preserve">3. Browsing &amp; Finding Items</w:t>
      </w:r>
    </w:p>
    <w:p>
      <w:pPr>
        <w:spacing w:after="160"/>
      </w:pPr>
      <w:r>
        <w:t xml:space="preserve">The main Auctions page lists every active listing. Swipe Stock is the same browsing experience filtered to just the platform’s own inventory. Bank Vehicles, Insurance, Premium, and Auto use a slightly different two-step layout: you first see a list of sale Events in that category, then drill into one event to see the items inside it.</w:t>
      </w:r>
    </w:p>
    <w:p>
      <w:pPr>
        <w:pStyle w:val="Heading3"/>
        <w:spacing w:after="100" w:before="220"/>
      </w:pPr>
      <w:r>
        <w:rPr>
          <w:b/>
          <w:bCs/>
          <w:color w:val="333333"/>
        </w:rPr>
        <w:t xml:space="preserve">Filters</w:t>
      </w:r>
    </w:p>
    <w:p>
      <w:pPr>
        <w:spacing w:after="160"/>
      </w:pPr>
      <w:r>
        <w:t xml:space="preserve">You can filter by category, price range, city/state, item condition, required subscription tier, keyword search, and — for vehicle categories — vehicle type (4-wheeler, commercial vehicle, 2-wheeler, tractor/farm equipment, 3-wheeler, or construction equipment). Additional filters appear automatically for categories that have their own specific attributes (e.g. filtering Bank Vehicles by Registration Number pattern).</w:t>
      </w:r>
    </w:p>
    <w:p>
      <w:pPr>
        <w:spacing w:after="160"/>
      </w:pPr>
      <w:r>
        <w:t xml:space="preserve">You can switch between a catalogue (grid/card) view and a list (table) view, and sort any table by clicking its column headers.</w:t>
      </w:r>
    </w:p>
    <w:p>
      <w:pPr>
        <w:pStyle w:val="Heading1"/>
        <w:pBdr>
          <w:bottom w:val="single" w:color="1F4E79" w:sz="6" w:space="4"/>
        </w:pBdr>
        <w:spacing w:after="200" w:before="480"/>
      </w:pPr>
      <w:r>
        <w:rPr>
          <w:b/>
          <w:bCs/>
          <w:color w:val="1F4E79"/>
        </w:rPr>
        <w:t xml:space="preserve">4. Wallet &amp; the Credit-Limit System</w:t>
      </w:r>
    </w:p>
    <w:p>
      <w:pPr>
        <w:pStyle w:val="Heading3"/>
        <w:spacing w:after="100" w:before="220"/>
      </w:pPr>
      <w:r>
        <w:rPr>
          <w:b/>
          <w:bCs/>
          <w:color w:val="333333"/>
        </w:rPr>
        <w:t xml:space="preserve">4.1 Depositing money</w:t>
      </w:r>
    </w:p>
    <w:p>
      <w:pPr>
        <w:spacing w:after="160"/>
      </w:pPr>
      <w:r>
        <w:t xml:space="preserve">Add funds to your wallet at any time through the Wallet page — this goes through the platform’s payment gateway and is reflected in your available balance once confirmed.</w:t>
      </w:r>
    </w:p>
    <w:p>
      <w:pPr>
        <w:pStyle w:val="Heading3"/>
        <w:spacing w:after="100" w:before="220"/>
      </w:pPr>
      <w:r>
        <w:rPr>
          <w:b/>
          <w:bCs/>
          <w:color w:val="333333"/>
        </w:rPr>
        <w:t xml:space="preserve">4.2 How your bidding credit limit works</w:t>
      </w:r>
    </w:p>
    <w:p>
      <w:pPr>
        <w:spacing w:after="160"/>
      </w:pPr>
      <w:r>
        <w:t xml:space="preserve">Your wallet balance doesn’t just sit there as spending money — it also determines how much total bidding "credit" you’re allowed to commit across every auction you’re currently bidding in, at a leveraged ratio.</w:t>
      </w:r>
    </w:p>
    <w:tbl>
      <w:tblPr>
        <w:tblW w:type="pct" w:w="100%"/>
        <w:tblBorders>
          <w:top w:val="single" w:color="D9A400" w:sz="4"/>
          <w:left w:val="single" w:color="D9A400" w:sz="4"/>
          <w:bottom w:val="single" w:color="D9A400" w:sz="4"/>
          <w:right w:val="single" w:color="D9A400" w:sz="4"/>
          <w:insideH w:val="single" w:color="D9A400" w:sz="4"/>
          <w:insideV w:val="single" w:color="D9A400" w:sz="4"/>
        </w:tblBorders>
      </w:tblPr>
      <w:tblGrid>
        <w:gridCol w:w="100"/>
      </w:tblGrid>
      <w:tr>
        <w:tc>
          <w:tcPr>
            <w:shd w:fill="FFF4CE" w:val="clear"/>
            <w:tcMar>
              <w:top w:type="dxa" w:w="120"/>
              <w:left w:type="dxa" w:w="160"/>
              <w:bottom w:type="dxa" w:w="120"/>
              <w:right w:type="dxa" w:w="160"/>
            </w:tcMar>
          </w:tcPr>
          <w:p>
            <w:pPr>
              <w:spacing w:after="60"/>
            </w:pPr>
            <w:r>
              <w:rPr>
                <w:b/>
                <w:bCs/>
                <w:color w:val="7A5B00"/>
              </w:rPr>
              <w:t xml:space="preserve">The formula, in plain terms</w:t>
            </w:r>
          </w:p>
          <w:p>
            <w:pPr>
              <w:spacing w:after="40"/>
            </w:pPr>
            <w:r>
              <w:rPr>
                <w:color w:val="4A3A00"/>
              </w:rPr>
              <w:t xml:space="preserve">Every complete ₹5,000 in your available wallet balance grants you ₹2.5 crore of bidding credit.</w:t>
            </w:r>
          </w:p>
          <w:p>
            <w:pPr>
              <w:spacing w:after="40"/>
            </w:pPr>
            <w:r>
              <w:rPr>
                <w:color w:val="4A3A00"/>
              </w:rPr>
              <w:t xml:space="preserve">Example: a ₹15,000 balance = 3 units of ₹5,000 = ₹7.5 crore of total bidding credit available to you across all your open bids at once.</w:t>
            </w:r>
          </w:p>
          <w:p>
            <w:pPr>
              <w:spacing w:after="40"/>
            </w:pPr>
            <w:r>
              <w:rPr>
                <w:color w:val="4A3A00"/>
              </w:rPr>
              <w:t xml:space="preserve">Your "committed credit" at any moment is the sum of your own highest bid on every auction you’re still actively bidding in. The moment one of those auctions closes (whether you won or lost it), that bid stops counting against your limit automatically — there’s nothing you need to do to "free it up."</w:t>
            </w:r>
          </w:p>
          <w:p>
            <w:pPr>
              <w:spacing w:after="40"/>
            </w:pPr>
            <w:r>
              <w:rPr>
                <w:color w:val="4A3A00"/>
              </w:rPr>
              <w:t xml:space="preserve">A new bid is only accepted if it would not push your total committed credit past your credit limit.</w:t>
            </w:r>
          </w:p>
        </w:tc>
      </w:tr>
    </w:tbl>
    <w:p>
      <w:pPr>
        <w:pStyle w:val="Heading3"/>
        <w:spacing w:after="100" w:before="220"/>
      </w:pPr>
      <w:r>
        <w:rPr>
          <w:b/>
          <w:bCs/>
          <w:color w:val="333333"/>
        </w:rPr>
        <w:t xml:space="preserve">4.3 Withdrawing money</w:t>
      </w:r>
    </w:p>
    <w:p>
      <w:pPr>
        <w:spacing w:after="160"/>
      </w:pPr>
      <w:r>
        <w:t xml:space="preserve">You can withdraw funds out to your bank account, but only the portion of your balance that isn’t currently "backing" your committed bidding credit is withdrawable — the system automatically works out how much of your deposit needs to stay in place to support your open bids, and only lets you withdraw the rest. Withdrawing requires saving your payout bank account details once, the first time.</w:t>
      </w:r>
    </w:p>
    <w:p>
      <w:pPr>
        <w:spacing w:after="160"/>
      </w:pPr>
      <w:r>
        <w:t xml:space="preserve">You’ll get an email and an in-app notification once a withdrawal has been processed and sent to your bank; it typically arrives within a few hours depending on your bank.</w:t>
      </w:r>
    </w:p>
    <w:p>
      <w:pPr>
        <w:pStyle w:val="Heading1"/>
        <w:pBdr>
          <w:bottom w:val="single" w:color="1F4E79" w:sz="6" w:space="4"/>
        </w:pBdr>
        <w:spacing w:after="200" w:before="480"/>
      </w:pPr>
      <w:r>
        <w:rPr>
          <w:b/>
          <w:bCs/>
          <w:color w:val="1F4E79"/>
        </w:rPr>
        <w:t xml:space="preserve">5. Registering &amp; Bidding on an Auction</w:t>
      </w:r>
    </w:p>
    <w:p>
      <w:pPr>
        <w:pStyle w:val="Heading3"/>
        <w:spacing w:after="100" w:before="220"/>
      </w:pPr>
      <w:r>
        <w:rPr>
          <w:b/>
          <w:bCs/>
          <w:color w:val="333333"/>
        </w:rPr>
        <w:t xml:space="preserve">5.1 Registering to bid</w:t>
      </w:r>
    </w:p>
    <w:p>
      <w:pPr>
        <w:spacing w:after="160"/>
      </w:pPr>
      <w:r>
        <w:t xml:space="preserve">Before you can bid on a specific auction, you register for it. This places a refundable hold on your wallet equal to that item’s starting price (its "earnest deposit") — the money isn’t spent, it’s just set aside so you can’t over-commit. You can’t register for or bid on your own listing.</w:t>
      </w:r>
    </w:p>
    <w:tbl>
      <w:tblPr>
        <w:tblW w:type="pct" w:w="100%"/>
        <w:tblBorders>
          <w:top w:val="single" w:color="D9A400" w:sz="4"/>
          <w:left w:val="single" w:color="D9A400" w:sz="4"/>
          <w:bottom w:val="single" w:color="D9A400" w:sz="4"/>
          <w:right w:val="single" w:color="D9A400" w:sz="4"/>
          <w:insideH w:val="single" w:color="D9A400" w:sz="4"/>
          <w:insideV w:val="single" w:color="D9A400" w:sz="4"/>
        </w:tblBorders>
      </w:tblPr>
      <w:tblGrid>
        <w:gridCol w:w="100"/>
      </w:tblGrid>
      <w:tr>
        <w:tc>
          <w:tcPr>
            <w:shd w:fill="FFF4CE" w:val="clear"/>
            <w:tcMar>
              <w:top w:type="dxa" w:w="120"/>
              <w:left w:type="dxa" w:w="160"/>
              <w:bottom w:type="dxa" w:w="120"/>
              <w:right w:type="dxa" w:w="160"/>
            </w:tcMar>
          </w:tcPr>
          <w:p>
            <w:pPr>
              <w:spacing w:after="60"/>
            </w:pPr>
            <w:r>
              <w:rPr>
                <w:b/>
                <w:bCs/>
                <w:color w:val="7A5B00"/>
              </w:rPr>
              <w:t xml:space="preserve">Dealer exemption</w:t>
            </w:r>
          </w:p>
          <w:p>
            <w:pPr>
              <w:spacing w:after="40"/>
            </w:pPr>
            <w:r>
              <w:rPr>
                <w:color w:val="4A3A00"/>
              </w:rPr>
              <w:t xml:space="preserve">If you signed up as a dealer, you don’t need to place this earnest-deposit hold to register — but you still need KYC approval and the registration fee like everyone else.</w:t>
            </w:r>
          </w:p>
        </w:tc>
      </w:tr>
    </w:tbl>
    <w:p>
      <w:pPr>
        <w:pStyle w:val="Heading3"/>
        <w:spacing w:after="100" w:before="220"/>
      </w:pPr>
      <w:r>
        <w:rPr>
          <w:b/>
          <w:bCs/>
          <w:color w:val="333333"/>
        </w:rPr>
        <w:t xml:space="preserve">5.2 The bidding rule — your own previous bid, not the current leader</w:t>
      </w:r>
    </w:p>
    <w:p>
      <w:pPr>
        <w:spacing w:after="160"/>
      </w:pPr>
      <w:r>
        <w:t xml:space="preserve">This is the single most important rule to understand, because it surprises people who assume every bid has to beat whoever is currently winning.</w:t>
      </w:r>
    </w:p>
    <w:tbl>
      <w:tblPr>
        <w:tblW w:type="pct" w:w="100%"/>
        <w:tblBorders>
          <w:top w:val="single" w:color="D9A400" w:sz="4"/>
          <w:left w:val="single" w:color="D9A400" w:sz="4"/>
          <w:bottom w:val="single" w:color="D9A400" w:sz="4"/>
          <w:right w:val="single" w:color="D9A400" w:sz="4"/>
          <w:insideH w:val="single" w:color="D9A400" w:sz="4"/>
          <w:insideV w:val="single" w:color="D9A400" w:sz="4"/>
        </w:tblBorders>
      </w:tblPr>
      <w:tblGrid>
        <w:gridCol w:w="100"/>
      </w:tblGrid>
      <w:tr>
        <w:tc>
          <w:tcPr>
            <w:shd w:fill="FFF4CE" w:val="clear"/>
            <w:tcMar>
              <w:top w:type="dxa" w:w="120"/>
              <w:left w:type="dxa" w:w="160"/>
              <w:bottom w:type="dxa" w:w="120"/>
              <w:right w:type="dxa" w:w="160"/>
            </w:tcMar>
          </w:tcPr>
          <w:p>
            <w:pPr>
              <w:spacing w:after="60"/>
            </w:pPr>
            <w:r>
              <w:rPr>
                <w:b/>
                <w:bCs/>
                <w:color w:val="7A5B00"/>
              </w:rPr>
              <w:t xml:space="preserve">How a bid is actually evaluated</w:t>
            </w:r>
          </w:p>
          <w:p>
            <w:pPr>
              <w:spacing w:after="40"/>
            </w:pPr>
            <w:r>
              <w:rPr>
                <w:color w:val="4A3A00"/>
              </w:rPr>
              <w:t xml:space="preserve">Your very first bid on an item just needs to be a positive amount within your credit limit — it doesn’t need to already beat the current leading bid.</w:t>
            </w:r>
          </w:p>
          <w:p>
            <w:pPr>
              <w:spacing w:after="40"/>
            </w:pPr>
            <w:r>
              <w:rPr>
                <w:color w:val="4A3A00"/>
              </w:rPr>
              <w:t xml:space="preserve">Every bid after your first one on that same item must beat your own last bid by at least the minimum increment — not necessarily the current leader’s bid.</w:t>
            </w:r>
          </w:p>
          <w:p>
            <w:pPr>
              <w:spacing w:after="40"/>
            </w:pPr>
            <w:r>
              <w:rPr>
                <w:color w:val="4A3A00"/>
              </w:rPr>
              <w:t xml:space="preserve">Example: the current leading bid is ₹50,000. Your own last bid was ₹30,000. A new bid of ₹31,000 from you will be accepted (it beats your own ₹30,000) — even though it’s still well below the ₹50,000 leader, and does not make you the new leader.</w:t>
            </w:r>
          </w:p>
          <w:p>
            <w:pPr>
              <w:spacing w:after="40"/>
            </w:pPr>
            <w:r>
              <w:rPr>
                <w:color w:val="4A3A00"/>
              </w:rPr>
              <w:t xml:space="preserve">Whether a given bid actually becomes the new "leading" bid is worked out separately, by comparing it to the auction’s current highest bid at that moment.</w:t>
            </w:r>
          </w:p>
        </w:tc>
      </w:tr>
    </w:tbl>
    <w:p>
      <w:pPr>
        <w:spacing w:after="160"/>
      </w:pPr>
      <w:r>
        <w:t xml:space="preserve">You can place up to 20 bids on any single auction. If a bid lands within the last 30 seconds of the auction, the closing time is automatically pushed out by another 30 seconds (up to 10 times) — this stops a last-second snipe from winning the item before anyone else has a chance to respond.</w:t>
      </w:r>
    </w:p>
    <w:p>
      <w:pPr>
        <w:pStyle w:val="Heading1"/>
        <w:pBdr>
          <w:bottom w:val="single" w:color="1F4E79" w:sz="6" w:space="4"/>
        </w:pBdr>
        <w:spacing w:after="200" w:before="480"/>
      </w:pPr>
      <w:r>
        <w:rPr>
          <w:b/>
          <w:bCs/>
          <w:color w:val="1F4E79"/>
        </w:rPr>
        <w:t xml:space="preserve">6. Winning an Item — What Happens Next</w:t>
      </w:r>
    </w:p>
    <w:p>
      <w:pPr>
        <w:spacing w:after="160"/>
      </w:pPr>
      <w:r>
        <w:t xml:space="preserve">Winning isn’t instant — there are a few steps between an auction closing and the item actually being yours. Here is the full sequence:</w:t>
      </w:r>
    </w:p>
    <w:tbl>
      <w:tblPr>
        <w:tblW w:type="pct" w:w="100%"/>
        <w:tblBorders>
          <w:top w:val="single" w:color="B7B7B7" w:sz="2"/>
          <w:left w:val="single" w:color="B7B7B7" w:sz="2"/>
          <w:bottom w:val="single" w:color="B7B7B7" w:sz="2"/>
          <w:right w:val="single" w:color="B7B7B7" w:sz="2"/>
          <w:insideH w:val="single" w:color="B7B7B7" w:sz="2"/>
          <w:insideV w:val="single" w:color="B7B7B7" w:sz="2"/>
        </w:tblBorders>
      </w:tblPr>
      <w:tblGrid>
        <w:gridCol w:w="100"/>
        <w:gridCol w:w="100"/>
      </w:tblGrid>
      <w:tr>
        <w:trPr>
          <w:tblHeader/>
        </w:trPr>
        <w:tc>
          <w:tcPr>
            <w:tcW w:type="dxa" w:w="2200"/>
            <w:shd w:fill="2F5496" w:val="clear"/>
            <w:tcMar>
              <w:top w:type="dxa" w:w="80"/>
              <w:left w:type="dxa" w:w="100"/>
              <w:bottom w:type="dxa" w:w="80"/>
              <w:right w:type="dxa" w:w="100"/>
            </w:tcMar>
          </w:tcPr>
          <w:p>
            <w:r>
              <w:rPr>
                <w:b/>
                <w:bCs/>
                <w:color w:val="FFFFFF"/>
                <w:sz w:val="20"/>
                <w:szCs w:val="20"/>
              </w:rPr>
              <w:t xml:space="preserve">Step</w:t>
            </w:r>
          </w:p>
        </w:tc>
        <w:tc>
          <w:tcPr>
            <w:tcW w:type="dxa" w:w="6800"/>
            <w:shd w:fill="2F5496" w:val="clear"/>
            <w:tcMar>
              <w:top w:type="dxa" w:w="80"/>
              <w:left w:type="dxa" w:w="100"/>
              <w:bottom w:type="dxa" w:w="80"/>
              <w:right w:type="dxa" w:w="100"/>
            </w:tcMar>
          </w:tcPr>
          <w:p>
            <w:r>
              <w:rPr>
                <w:b/>
                <w:bCs/>
                <w:color w:val="FFFFFF"/>
                <w:sz w:val="20"/>
                <w:szCs w:val="20"/>
              </w:rPr>
              <w:t xml:space="preserve">What happens</w:t>
            </w:r>
          </w:p>
        </w:tc>
      </w:tr>
      <w:tr>
        <w:tc>
          <w:tcPr>
            <w:tcW w:type="dxa" w:w="2200"/>
            <w:tcMar>
              <w:top w:type="dxa" w:w="60"/>
              <w:left w:type="dxa" w:w="100"/>
              <w:bottom w:type="dxa" w:w="60"/>
              <w:right w:type="dxa" w:w="100"/>
            </w:tcMar>
          </w:tcPr>
          <w:p>
            <w:r>
              <w:rPr>
                <w:sz w:val="20"/>
                <w:szCs w:val="20"/>
              </w:rPr>
              <w:t xml:space="preserve">1. Auction closes</w:t>
            </w:r>
          </w:p>
        </w:tc>
        <w:tc>
          <w:tcPr>
            <w:tcW w:type="dxa" w:w="6800"/>
            <w:tcMar>
              <w:top w:type="dxa" w:w="60"/>
              <w:left w:type="dxa" w:w="100"/>
              <w:bottom w:type="dxa" w:w="60"/>
              <w:right w:type="dxa" w:w="100"/>
            </w:tcMar>
          </w:tcPr>
          <w:p>
            <w:r>
              <w:rPr>
                <w:sz w:val="20"/>
                <w:szCs w:val="20"/>
              </w:rPr>
              <w:t xml:space="preserve">If the highest bid met the item’s starting/reserve price, you’re recorded as the winner. Everyone else’s earnest deposit on that auction is released back to their wallet automatically.</w:t>
            </w:r>
          </w:p>
        </w:tc>
      </w:tr>
      <w:tr>
        <w:tc>
          <w:tcPr>
            <w:tcW w:type="dxa" w:w="2200"/>
            <w:tcMar>
              <w:top w:type="dxa" w:w="60"/>
              <w:left w:type="dxa" w:w="100"/>
              <w:bottom w:type="dxa" w:w="60"/>
              <w:right w:type="dxa" w:w="100"/>
            </w:tcMar>
          </w:tcPr>
          <w:p>
            <w:r>
              <w:rPr>
                <w:sz w:val="20"/>
                <w:szCs w:val="20"/>
              </w:rPr>
              <w:t xml:space="preserve">2. Approval pending</w:t>
            </w:r>
          </w:p>
        </w:tc>
        <w:tc>
          <w:tcPr>
            <w:tcW w:type="dxa" w:w="6800"/>
            <w:tcMar>
              <w:top w:type="dxa" w:w="60"/>
              <w:left w:type="dxa" w:w="100"/>
              <w:bottom w:type="dxa" w:w="60"/>
              <w:right w:type="dxa" w:w="100"/>
            </w:tcMar>
          </w:tcPr>
          <w:p>
            <w:r>
              <w:rPr>
                <w:sz w:val="20"/>
                <w:szCs w:val="20"/>
              </w:rPr>
              <w:t xml:space="preserve">Your win sits in "Approval Pending" status while an admin reviews it. This is normal and does not mean anything is wrong.</w:t>
            </w:r>
          </w:p>
        </w:tc>
      </w:tr>
      <w:tr>
        <w:tc>
          <w:tcPr>
            <w:tcW w:type="dxa" w:w="2200"/>
            <w:tcMar>
              <w:top w:type="dxa" w:w="60"/>
              <w:left w:type="dxa" w:w="100"/>
              <w:bottom w:type="dxa" w:w="60"/>
              <w:right w:type="dxa" w:w="100"/>
            </w:tcMar>
          </w:tcPr>
          <w:p>
            <w:r>
              <w:rPr>
                <w:sz w:val="20"/>
                <w:szCs w:val="20"/>
              </w:rPr>
              <w:t xml:space="preserve">3a. Approved</w:t>
            </w:r>
          </w:p>
        </w:tc>
        <w:tc>
          <w:tcPr>
            <w:tcW w:type="dxa" w:w="6800"/>
            <w:tcMar>
              <w:top w:type="dxa" w:w="60"/>
              <w:left w:type="dxa" w:w="100"/>
              <w:bottom w:type="dxa" w:w="60"/>
              <w:right w:type="dxa" w:w="100"/>
            </w:tcMar>
          </w:tcPr>
          <w:p>
            <w:r>
              <w:rPr>
                <w:sz w:val="20"/>
                <w:szCs w:val="20"/>
              </w:rPr>
              <w:t xml:space="preserve">You’re notified, and can now pay the remaining balance (your winning bid amount minus the earnest deposit you already placed — dealers, who never had a deposit, pay the full amount).</w:t>
            </w:r>
          </w:p>
        </w:tc>
      </w:tr>
      <w:tr>
        <w:tc>
          <w:tcPr>
            <w:tcW w:type="dxa" w:w="2200"/>
            <w:tcMar>
              <w:top w:type="dxa" w:w="60"/>
              <w:left w:type="dxa" w:w="100"/>
              <w:bottom w:type="dxa" w:w="60"/>
              <w:right w:type="dxa" w:w="100"/>
            </w:tcMar>
          </w:tcPr>
          <w:p>
            <w:r>
              <w:rPr>
                <w:sz w:val="20"/>
                <w:szCs w:val="20"/>
              </w:rPr>
              <w:t xml:space="preserve">3b. Rejected</w:t>
            </w:r>
          </w:p>
        </w:tc>
        <w:tc>
          <w:tcPr>
            <w:tcW w:type="dxa" w:w="6800"/>
            <w:tcMar>
              <w:top w:type="dxa" w:w="60"/>
              <w:left w:type="dxa" w:w="100"/>
              <w:bottom w:type="dxa" w:w="60"/>
              <w:right w:type="dxa" w:w="100"/>
            </w:tcMar>
          </w:tcPr>
          <w:p>
            <w:r>
              <w:rPr>
                <w:sz w:val="20"/>
                <w:szCs w:val="20"/>
              </w:rPr>
              <w:t xml:space="preserve">Your earnest deposit is refunded in full and the item goes back to "Unsold." You’ll be notified with the reason.</w:t>
            </w:r>
          </w:p>
        </w:tc>
      </w:tr>
      <w:tr>
        <w:tc>
          <w:tcPr>
            <w:tcW w:type="dxa" w:w="2200"/>
            <w:tcMar>
              <w:top w:type="dxa" w:w="60"/>
              <w:left w:type="dxa" w:w="100"/>
              <w:bottom w:type="dxa" w:w="60"/>
              <w:right w:type="dxa" w:w="100"/>
            </w:tcMar>
          </w:tcPr>
          <w:p>
            <w:r>
              <w:rPr>
                <w:sz w:val="20"/>
                <w:szCs w:val="20"/>
              </w:rPr>
              <w:t xml:space="preserve">4. You pay the remainder</w:t>
            </w:r>
          </w:p>
        </w:tc>
        <w:tc>
          <w:tcPr>
            <w:tcW w:type="dxa" w:w="6800"/>
            <w:tcMar>
              <w:top w:type="dxa" w:w="60"/>
              <w:left w:type="dxa" w:w="100"/>
              <w:bottom w:type="dxa" w:w="60"/>
              <w:right w:type="dxa" w:w="100"/>
            </w:tcMar>
          </w:tcPr>
          <w:p>
            <w:r>
              <w:rPr>
                <w:sz w:val="20"/>
                <w:szCs w:val="20"/>
              </w:rPr>
              <w:t xml:space="preserve">Paid directly from your wallet balance. If your balance is insufficient, top up first and try again.</w:t>
            </w:r>
          </w:p>
        </w:tc>
      </w:tr>
      <w:tr>
        <w:tc>
          <w:tcPr>
            <w:tcW w:type="dxa" w:w="2200"/>
            <w:tcMar>
              <w:top w:type="dxa" w:w="60"/>
              <w:left w:type="dxa" w:w="100"/>
              <w:bottom w:type="dxa" w:w="60"/>
              <w:right w:type="dxa" w:w="100"/>
            </w:tcMar>
          </w:tcPr>
          <w:p>
            <w:r>
              <w:rPr>
                <w:sz w:val="20"/>
                <w:szCs w:val="20"/>
              </w:rPr>
              <w:t xml:space="preserve">5. Confirmation letter</w:t>
            </w:r>
          </w:p>
        </w:tc>
        <w:tc>
          <w:tcPr>
            <w:tcW w:type="dxa" w:w="6800"/>
            <w:tcMar>
              <w:top w:type="dxa" w:w="60"/>
              <w:left w:type="dxa" w:w="100"/>
              <w:bottom w:type="dxa" w:w="60"/>
              <w:right w:type="dxa" w:w="100"/>
            </w:tcMar>
          </w:tcPr>
          <w:p>
            <w:r>
              <w:rPr>
                <w:sz w:val="20"/>
                <w:szCs w:val="20"/>
              </w:rPr>
              <w:t xml:space="preserve">Once you’ve paid, a one-page confirmation-letter PDF becomes available for you to download as a receipt of the purchase.</w:t>
            </w:r>
          </w:p>
        </w:tc>
      </w:tr>
    </w:tbl>
    <w:p>
      <w:pPr>
        <w:spacing w:after="200"/>
      </w:pPr>
    </w:p>
    <w:p>
      <w:pPr>
        <w:spacing w:after="160"/>
      </w:pPr>
      <w:r>
        <w:t xml:space="preserve">If you’re a winning seller waiting on your own sale to pay out: once the buyer completes payment, your proceeds are held in escrow for a short period (48 hours by default) before being released to your withdrawable wallet balance automatically — unless a dispute has been raised on that sale, in which case it stays held until an admin resolves it.</w:t>
      </w:r>
    </w:p>
    <w:p>
      <w:pPr>
        <w:pStyle w:val="Heading1"/>
        <w:pBdr>
          <w:bottom w:val="single" w:color="1F4E79" w:sz="6" w:space="4"/>
        </w:pBdr>
        <w:spacing w:after="200" w:before="480"/>
      </w:pPr>
      <w:r>
        <w:rPr>
          <w:b/>
          <w:bCs/>
          <w:color w:val="1F4E79"/>
        </w:rPr>
        <w:t xml:space="preserve">7. Notifications</w:t>
      </w:r>
    </w:p>
    <w:p>
      <w:pPr>
        <w:spacing w:after="160"/>
      </w:pPr>
      <w:r>
        <w:t xml:space="preserve">You’ll receive both an email and an in-app notification for each of the following events:</w:t>
      </w:r>
    </w:p>
    <w:tbl>
      <w:tblPr>
        <w:tblW w:type="pct" w:w="100%"/>
        <w:tblBorders>
          <w:top w:val="single" w:color="B7B7B7" w:sz="2"/>
          <w:left w:val="single" w:color="B7B7B7" w:sz="2"/>
          <w:bottom w:val="single" w:color="B7B7B7" w:sz="2"/>
          <w:right w:val="single" w:color="B7B7B7" w:sz="2"/>
          <w:insideH w:val="single" w:color="B7B7B7" w:sz="2"/>
          <w:insideV w:val="single" w:color="B7B7B7" w:sz="2"/>
        </w:tblBorders>
      </w:tblPr>
      <w:tblGrid>
        <w:gridCol w:w="100"/>
        <w:gridCol w:w="100"/>
      </w:tblGrid>
      <w:tr>
        <w:trPr>
          <w:tblHeader/>
        </w:trPr>
        <w:tc>
          <w:tcPr>
            <w:tcW w:type="dxa" w:w="4500"/>
            <w:shd w:fill="2F5496" w:val="clear"/>
            <w:tcMar>
              <w:top w:type="dxa" w:w="80"/>
              <w:left w:type="dxa" w:w="100"/>
              <w:bottom w:type="dxa" w:w="80"/>
              <w:right w:type="dxa" w:w="100"/>
            </w:tcMar>
          </w:tcPr>
          <w:p>
            <w:r>
              <w:rPr>
                <w:b/>
                <w:bCs/>
                <w:color w:val="FFFFFF"/>
                <w:sz w:val="20"/>
                <w:szCs w:val="20"/>
              </w:rPr>
              <w:t xml:space="preserve">Notification</w:t>
            </w:r>
          </w:p>
        </w:tc>
        <w:tc>
          <w:tcPr>
            <w:tcW w:type="dxa" w:w="4500"/>
            <w:shd w:fill="2F5496" w:val="clear"/>
            <w:tcMar>
              <w:top w:type="dxa" w:w="80"/>
              <w:left w:type="dxa" w:w="100"/>
              <w:bottom w:type="dxa" w:w="80"/>
              <w:right w:type="dxa" w:w="100"/>
            </w:tcMar>
          </w:tcPr>
          <w:p>
            <w:r>
              <w:rPr>
                <w:b/>
                <w:bCs/>
                <w:color w:val="FFFFFF"/>
                <w:sz w:val="20"/>
                <w:szCs w:val="20"/>
              </w:rPr>
              <w:t xml:space="preserve">When it fires</w:t>
            </w:r>
          </w:p>
        </w:tc>
      </w:tr>
      <w:tr>
        <w:tc>
          <w:tcPr>
            <w:tcW w:type="dxa" w:w="4500"/>
            <w:tcMar>
              <w:top w:type="dxa" w:w="60"/>
              <w:left w:type="dxa" w:w="100"/>
              <w:bottom w:type="dxa" w:w="60"/>
              <w:right w:type="dxa" w:w="100"/>
            </w:tcMar>
          </w:tcPr>
          <w:p>
            <w:r>
              <w:rPr>
                <w:sz w:val="20"/>
                <w:szCs w:val="20"/>
              </w:rPr>
              <w:t xml:space="preserve">Bid placed</w:t>
            </w:r>
          </w:p>
        </w:tc>
        <w:tc>
          <w:tcPr>
            <w:tcW w:type="dxa" w:w="4500"/>
            <w:tcMar>
              <w:top w:type="dxa" w:w="60"/>
              <w:left w:type="dxa" w:w="100"/>
              <w:bottom w:type="dxa" w:w="60"/>
              <w:right w:type="dxa" w:w="100"/>
            </w:tcMar>
          </w:tcPr>
          <w:p>
            <w:r>
              <w:rPr>
                <w:sz w:val="20"/>
                <w:szCs w:val="20"/>
              </w:rPr>
              <w:t xml:space="preserve">Your bid was accepted.</w:t>
            </w:r>
          </w:p>
        </w:tc>
      </w:tr>
      <w:tr>
        <w:tc>
          <w:tcPr>
            <w:tcW w:type="dxa" w:w="4500"/>
            <w:tcMar>
              <w:top w:type="dxa" w:w="60"/>
              <w:left w:type="dxa" w:w="100"/>
              <w:bottom w:type="dxa" w:w="60"/>
              <w:right w:type="dxa" w:w="100"/>
            </w:tcMar>
          </w:tcPr>
          <w:p>
            <w:r>
              <w:rPr>
                <w:sz w:val="20"/>
                <w:szCs w:val="20"/>
              </w:rPr>
              <w:t xml:space="preserve">Outbid</w:t>
            </w:r>
          </w:p>
        </w:tc>
        <w:tc>
          <w:tcPr>
            <w:tcW w:type="dxa" w:w="4500"/>
            <w:tcMar>
              <w:top w:type="dxa" w:w="60"/>
              <w:left w:type="dxa" w:w="100"/>
              <w:bottom w:type="dxa" w:w="60"/>
              <w:right w:type="dxa" w:w="100"/>
            </w:tcMar>
          </w:tcPr>
          <w:p>
            <w:r>
              <w:rPr>
                <w:sz w:val="20"/>
                <w:szCs w:val="20"/>
              </w:rPr>
              <w:t xml:space="preserve">Someone else’s bid just took the lead over yours.</w:t>
            </w:r>
          </w:p>
        </w:tc>
      </w:tr>
      <w:tr>
        <w:tc>
          <w:tcPr>
            <w:tcW w:type="dxa" w:w="4500"/>
            <w:tcMar>
              <w:top w:type="dxa" w:w="60"/>
              <w:left w:type="dxa" w:w="100"/>
              <w:bottom w:type="dxa" w:w="60"/>
              <w:right w:type="dxa" w:w="100"/>
            </w:tcMar>
          </w:tcPr>
          <w:p>
            <w:r>
              <w:rPr>
                <w:sz w:val="20"/>
                <w:szCs w:val="20"/>
              </w:rPr>
              <w:t xml:space="preserve">Auction won</w:t>
            </w:r>
          </w:p>
        </w:tc>
        <w:tc>
          <w:tcPr>
            <w:tcW w:type="dxa" w:w="4500"/>
            <w:tcMar>
              <w:top w:type="dxa" w:w="60"/>
              <w:left w:type="dxa" w:w="100"/>
              <w:bottom w:type="dxa" w:w="60"/>
              <w:right w:type="dxa" w:w="100"/>
            </w:tcMar>
          </w:tcPr>
          <w:p>
            <w:r>
              <w:rPr>
                <w:sz w:val="20"/>
                <w:szCs w:val="20"/>
              </w:rPr>
              <w:t xml:space="preserve">An auction you bid on closed and you won it.</w:t>
            </w:r>
          </w:p>
        </w:tc>
      </w:tr>
      <w:tr>
        <w:tc>
          <w:tcPr>
            <w:tcW w:type="dxa" w:w="4500"/>
            <w:tcMar>
              <w:top w:type="dxa" w:w="60"/>
              <w:left w:type="dxa" w:w="100"/>
              <w:bottom w:type="dxa" w:w="60"/>
              <w:right w:type="dxa" w:w="100"/>
            </w:tcMar>
          </w:tcPr>
          <w:p>
            <w:r>
              <w:rPr>
                <w:sz w:val="20"/>
                <w:szCs w:val="20"/>
              </w:rPr>
              <w:t xml:space="preserve">Auction ended, not won</w:t>
            </w:r>
          </w:p>
        </w:tc>
        <w:tc>
          <w:tcPr>
            <w:tcW w:type="dxa" w:w="4500"/>
            <w:tcMar>
              <w:top w:type="dxa" w:w="60"/>
              <w:left w:type="dxa" w:w="100"/>
              <w:bottom w:type="dxa" w:w="60"/>
              <w:right w:type="dxa" w:w="100"/>
            </w:tcMar>
          </w:tcPr>
          <w:p>
            <w:r>
              <w:rPr>
                <w:sz w:val="20"/>
                <w:szCs w:val="20"/>
              </w:rPr>
              <w:t xml:space="preserve">An auction you bid on closed without you winning (sold to someone else, or didn’t sell).</w:t>
            </w:r>
          </w:p>
        </w:tc>
      </w:tr>
      <w:tr>
        <w:tc>
          <w:tcPr>
            <w:tcW w:type="dxa" w:w="4500"/>
            <w:tcMar>
              <w:top w:type="dxa" w:w="60"/>
              <w:left w:type="dxa" w:w="100"/>
              <w:bottom w:type="dxa" w:w="60"/>
              <w:right w:type="dxa" w:w="100"/>
            </w:tcMar>
          </w:tcPr>
          <w:p>
            <w:r>
              <w:rPr>
                <w:sz w:val="20"/>
                <w:szCs w:val="20"/>
              </w:rPr>
              <w:t xml:space="preserve">Wallet top-up</w:t>
            </w:r>
          </w:p>
        </w:tc>
        <w:tc>
          <w:tcPr>
            <w:tcW w:type="dxa" w:w="4500"/>
            <w:tcMar>
              <w:top w:type="dxa" w:w="60"/>
              <w:left w:type="dxa" w:w="100"/>
              <w:bottom w:type="dxa" w:w="60"/>
              <w:right w:type="dxa" w:w="100"/>
            </w:tcMar>
          </w:tcPr>
          <w:p>
            <w:r>
              <w:rPr>
                <w:sz w:val="20"/>
                <w:szCs w:val="20"/>
              </w:rPr>
              <w:t xml:space="preserve">A deposit into your wallet was confirmed.</w:t>
            </w:r>
          </w:p>
        </w:tc>
      </w:tr>
      <w:tr>
        <w:tc>
          <w:tcPr>
            <w:tcW w:type="dxa" w:w="4500"/>
            <w:tcMar>
              <w:top w:type="dxa" w:w="60"/>
              <w:left w:type="dxa" w:w="100"/>
              <w:bottom w:type="dxa" w:w="60"/>
              <w:right w:type="dxa" w:w="100"/>
            </w:tcMar>
          </w:tcPr>
          <w:p>
            <w:r>
              <w:rPr>
                <w:sz w:val="20"/>
                <w:szCs w:val="20"/>
              </w:rPr>
              <w:t xml:space="preserve">Wallet withdrawal</w:t>
            </w:r>
          </w:p>
        </w:tc>
        <w:tc>
          <w:tcPr>
            <w:tcW w:type="dxa" w:w="4500"/>
            <w:tcMar>
              <w:top w:type="dxa" w:w="60"/>
              <w:left w:type="dxa" w:w="100"/>
              <w:bottom w:type="dxa" w:w="60"/>
              <w:right w:type="dxa" w:w="100"/>
            </w:tcMar>
          </w:tcPr>
          <w:p>
            <w:r>
              <w:rPr>
                <w:sz w:val="20"/>
                <w:szCs w:val="20"/>
              </w:rPr>
              <w:t xml:space="preserve">A withdrawal was processed and sent to your bank.</w:t>
            </w:r>
          </w:p>
        </w:tc>
      </w:tr>
      <w:tr>
        <w:tc>
          <w:tcPr>
            <w:tcW w:type="dxa" w:w="4500"/>
            <w:tcMar>
              <w:top w:type="dxa" w:w="60"/>
              <w:left w:type="dxa" w:w="100"/>
              <w:bottom w:type="dxa" w:w="60"/>
              <w:right w:type="dxa" w:w="100"/>
            </w:tcMar>
          </w:tcPr>
          <w:p>
            <w:r>
              <w:rPr>
                <w:sz w:val="20"/>
                <w:szCs w:val="20"/>
              </w:rPr>
              <w:t xml:space="preserve">Referral bonus credited</w:t>
            </w:r>
          </w:p>
        </w:tc>
        <w:tc>
          <w:tcPr>
            <w:tcW w:type="dxa" w:w="4500"/>
            <w:tcMar>
              <w:top w:type="dxa" w:w="60"/>
              <w:left w:type="dxa" w:w="100"/>
              <w:bottom w:type="dxa" w:w="60"/>
              <w:right w:type="dxa" w:w="100"/>
            </w:tcMar>
          </w:tcPr>
          <w:p>
            <w:r>
              <w:rPr>
                <w:sz w:val="20"/>
                <w:szCs w:val="20"/>
              </w:rPr>
              <w:t xml:space="preserve">Someone you referred made a qualifying deposit.</w:t>
            </w:r>
          </w:p>
        </w:tc>
      </w:tr>
      <w:tr>
        <w:tc>
          <w:tcPr>
            <w:tcW w:type="dxa" w:w="4500"/>
            <w:tcMar>
              <w:top w:type="dxa" w:w="60"/>
              <w:left w:type="dxa" w:w="100"/>
              <w:bottom w:type="dxa" w:w="60"/>
              <w:right w:type="dxa" w:w="100"/>
            </w:tcMar>
          </w:tcPr>
          <w:p>
            <w:r>
              <w:rPr>
                <w:sz w:val="20"/>
                <w:szCs w:val="20"/>
              </w:rPr>
              <w:t xml:space="preserve">Wallet adjusted</w:t>
            </w:r>
          </w:p>
        </w:tc>
        <w:tc>
          <w:tcPr>
            <w:tcW w:type="dxa" w:w="4500"/>
            <w:tcMar>
              <w:top w:type="dxa" w:w="60"/>
              <w:left w:type="dxa" w:w="100"/>
              <w:bottom w:type="dxa" w:w="60"/>
              <w:right w:type="dxa" w:w="100"/>
            </w:tcMar>
          </w:tcPr>
          <w:p>
            <w:r>
              <w:rPr>
                <w:sz w:val="20"/>
                <w:szCs w:val="20"/>
              </w:rPr>
              <w:t xml:space="preserve">An admin manually credited or debited your wallet, with their reason.</w:t>
            </w:r>
          </w:p>
        </w:tc>
      </w:tr>
      <w:tr>
        <w:tc>
          <w:tcPr>
            <w:tcW w:type="dxa" w:w="4500"/>
            <w:tcMar>
              <w:top w:type="dxa" w:w="60"/>
              <w:left w:type="dxa" w:w="100"/>
              <w:bottom w:type="dxa" w:w="60"/>
              <w:right w:type="dxa" w:w="100"/>
            </w:tcMar>
          </w:tcPr>
          <w:p>
            <w:r>
              <w:rPr>
                <w:sz w:val="20"/>
                <w:szCs w:val="20"/>
              </w:rPr>
              <w:t xml:space="preserve">Registration fee paid</w:t>
            </w:r>
          </w:p>
        </w:tc>
        <w:tc>
          <w:tcPr>
            <w:tcW w:type="dxa" w:w="4500"/>
            <w:tcMar>
              <w:top w:type="dxa" w:w="60"/>
              <w:left w:type="dxa" w:w="100"/>
              <w:bottom w:type="dxa" w:w="60"/>
              <w:right w:type="dxa" w:w="100"/>
            </w:tcMar>
          </w:tcPr>
          <w:p>
            <w:r>
              <w:rPr>
                <w:sz w:val="20"/>
                <w:szCs w:val="20"/>
              </w:rPr>
              <w:t xml:space="preserve">Your one-time registration fee was confirmed.</w:t>
            </w:r>
          </w:p>
        </w:tc>
      </w:tr>
      <w:tr>
        <w:tc>
          <w:tcPr>
            <w:tcW w:type="dxa" w:w="4500"/>
            <w:tcMar>
              <w:top w:type="dxa" w:w="60"/>
              <w:left w:type="dxa" w:w="100"/>
              <w:bottom w:type="dxa" w:w="60"/>
              <w:right w:type="dxa" w:w="100"/>
            </w:tcMar>
          </w:tcPr>
          <w:p>
            <w:r>
              <w:rPr>
                <w:sz w:val="20"/>
                <w:szCs w:val="20"/>
              </w:rPr>
              <w:t xml:space="preserve">Subscription activated</w:t>
            </w:r>
          </w:p>
        </w:tc>
        <w:tc>
          <w:tcPr>
            <w:tcW w:type="dxa" w:w="4500"/>
            <w:tcMar>
              <w:top w:type="dxa" w:w="60"/>
              <w:left w:type="dxa" w:w="100"/>
              <w:bottom w:type="dxa" w:w="60"/>
              <w:right w:type="dxa" w:w="100"/>
            </w:tcMar>
          </w:tcPr>
          <w:p>
            <w:r>
              <w:rPr>
                <w:sz w:val="20"/>
                <w:szCs w:val="20"/>
              </w:rPr>
              <w:t xml:space="preserve">A paid subscription tier purchase was confirmed.</w:t>
            </w:r>
          </w:p>
        </w:tc>
      </w:tr>
      <w:tr>
        <w:tc>
          <w:tcPr>
            <w:tcW w:type="dxa" w:w="4500"/>
            <w:tcMar>
              <w:top w:type="dxa" w:w="60"/>
              <w:left w:type="dxa" w:w="100"/>
              <w:bottom w:type="dxa" w:w="60"/>
              <w:right w:type="dxa" w:w="100"/>
            </w:tcMar>
          </w:tcPr>
          <w:p>
            <w:r>
              <w:rPr>
                <w:sz w:val="20"/>
                <w:szCs w:val="20"/>
              </w:rPr>
              <w:t xml:space="preserve">Payment failed</w:t>
            </w:r>
          </w:p>
        </w:tc>
        <w:tc>
          <w:tcPr>
            <w:tcW w:type="dxa" w:w="4500"/>
            <w:tcMar>
              <w:top w:type="dxa" w:w="60"/>
              <w:left w:type="dxa" w:w="100"/>
              <w:bottom w:type="dxa" w:w="60"/>
              <w:right w:type="dxa" w:w="100"/>
            </w:tcMar>
          </w:tcPr>
          <w:p>
            <w:r>
              <w:rPr>
                <w:sz w:val="20"/>
                <w:szCs w:val="20"/>
              </w:rPr>
              <w:t xml:space="preserve">A payment attempt (top-up, fee, or subscription) didn’t go through.</w:t>
            </w:r>
          </w:p>
        </w:tc>
      </w:tr>
      <w:tr>
        <w:tc>
          <w:tcPr>
            <w:tcW w:type="dxa" w:w="4500"/>
            <w:tcMar>
              <w:top w:type="dxa" w:w="60"/>
              <w:left w:type="dxa" w:w="100"/>
              <w:bottom w:type="dxa" w:w="60"/>
              <w:right w:type="dxa" w:w="100"/>
            </w:tcMar>
          </w:tcPr>
          <w:p>
            <w:r>
              <w:rPr>
                <w:sz w:val="20"/>
                <w:szCs w:val="20"/>
              </w:rPr>
              <w:t xml:space="preserve">Settlement completed</w:t>
            </w:r>
          </w:p>
        </w:tc>
        <w:tc>
          <w:tcPr>
            <w:tcW w:type="dxa" w:w="4500"/>
            <w:tcMar>
              <w:top w:type="dxa" w:w="60"/>
              <w:left w:type="dxa" w:w="100"/>
              <w:bottom w:type="dxa" w:w="60"/>
              <w:right w:type="dxa" w:w="100"/>
            </w:tcMar>
          </w:tcPr>
          <w:p>
            <w:r>
              <w:rPr>
                <w:sz w:val="20"/>
                <w:szCs w:val="20"/>
              </w:rPr>
              <w:t xml:space="preserve">You finished paying the remaining balance on a win.</w:t>
            </w:r>
          </w:p>
        </w:tc>
      </w:tr>
      <w:tr>
        <w:tc>
          <w:tcPr>
            <w:tcW w:type="dxa" w:w="4500"/>
            <w:tcMar>
              <w:top w:type="dxa" w:w="60"/>
              <w:left w:type="dxa" w:w="100"/>
              <w:bottom w:type="dxa" w:w="60"/>
              <w:right w:type="dxa" w:w="100"/>
            </w:tcMar>
          </w:tcPr>
          <w:p>
            <w:r>
              <w:rPr>
                <w:sz w:val="20"/>
                <w:szCs w:val="20"/>
              </w:rPr>
              <w:t xml:space="preserve">Settlement reminder</w:t>
            </w:r>
          </w:p>
        </w:tc>
        <w:tc>
          <w:tcPr>
            <w:tcW w:type="dxa" w:w="4500"/>
            <w:tcMar>
              <w:top w:type="dxa" w:w="60"/>
              <w:left w:type="dxa" w:w="100"/>
              <w:bottom w:type="dxa" w:w="60"/>
              <w:right w:type="dxa" w:w="100"/>
            </w:tcMar>
          </w:tcPr>
          <w:p>
            <w:r>
              <w:rPr>
                <w:sz w:val="20"/>
                <w:szCs w:val="20"/>
              </w:rPr>
              <w:t xml:space="preserve">You have an approved win with an unpaid balance still outstanding.</w:t>
            </w:r>
          </w:p>
        </w:tc>
      </w:tr>
      <w:tr>
        <w:tc>
          <w:tcPr>
            <w:tcW w:type="dxa" w:w="4500"/>
            <w:tcMar>
              <w:top w:type="dxa" w:w="60"/>
              <w:left w:type="dxa" w:w="100"/>
              <w:bottom w:type="dxa" w:w="60"/>
              <w:right w:type="dxa" w:w="100"/>
            </w:tcMar>
          </w:tcPr>
          <w:p>
            <w:r>
              <w:rPr>
                <w:sz w:val="20"/>
                <w:szCs w:val="20"/>
              </w:rPr>
              <w:t xml:space="preserve">Win approved</w:t>
            </w:r>
          </w:p>
        </w:tc>
        <w:tc>
          <w:tcPr>
            <w:tcW w:type="dxa" w:w="4500"/>
            <w:tcMar>
              <w:top w:type="dxa" w:w="60"/>
              <w:left w:type="dxa" w:w="100"/>
              <w:bottom w:type="dxa" w:w="60"/>
              <w:right w:type="dxa" w:w="100"/>
            </w:tcMar>
          </w:tcPr>
          <w:p>
            <w:r>
              <w:rPr>
                <w:sz w:val="20"/>
                <w:szCs w:val="20"/>
              </w:rPr>
              <w:t xml:space="preserve">An admin approved your win — you can now pay the remainder.</w:t>
            </w:r>
          </w:p>
        </w:tc>
      </w:tr>
      <w:tr>
        <w:tc>
          <w:tcPr>
            <w:tcW w:type="dxa" w:w="4500"/>
            <w:tcMar>
              <w:top w:type="dxa" w:w="60"/>
              <w:left w:type="dxa" w:w="100"/>
              <w:bottom w:type="dxa" w:w="60"/>
              <w:right w:type="dxa" w:w="100"/>
            </w:tcMar>
          </w:tcPr>
          <w:p>
            <w:r>
              <w:rPr>
                <w:sz w:val="20"/>
                <w:szCs w:val="20"/>
              </w:rPr>
              <w:t xml:space="preserve">Win rejected</w:t>
            </w:r>
          </w:p>
        </w:tc>
        <w:tc>
          <w:tcPr>
            <w:tcW w:type="dxa" w:w="4500"/>
            <w:tcMar>
              <w:top w:type="dxa" w:w="60"/>
              <w:left w:type="dxa" w:w="100"/>
              <w:bottom w:type="dxa" w:w="60"/>
              <w:right w:type="dxa" w:w="100"/>
            </w:tcMar>
          </w:tcPr>
          <w:p>
            <w:r>
              <w:rPr>
                <w:sz w:val="20"/>
                <w:szCs w:val="20"/>
              </w:rPr>
              <w:t xml:space="preserve">An admin rejected your win — your deposit was refunded.</w:t>
            </w:r>
          </w:p>
        </w:tc>
      </w:tr>
    </w:tbl>
    <w:p>
      <w:pPr>
        <w:spacing w:after="200"/>
      </w:pPr>
    </w:p>
    <w:p>
      <w:pPr>
        <w:spacing w:after="160"/>
      </w:pPr>
      <w:r>
        <w:t xml:space="preserve">You’ll also get a security email whenever you sign in from a device that hasn’t been used on your account before.</w:t>
      </w:r>
    </w:p>
    <w:p>
      <w:pPr>
        <w:pStyle w:val="Heading1"/>
        <w:pBdr>
          <w:bottom w:val="single" w:color="1F4E79" w:sz="6" w:space="4"/>
        </w:pBdr>
        <w:spacing w:after="200" w:before="480"/>
      </w:pPr>
      <w:r>
        <w:rPr>
          <w:b/>
          <w:bCs/>
          <w:color w:val="1F4E79"/>
        </w:rPr>
        <w:t xml:space="preserve">8. Subscriptions &amp; Tiers</w:t>
      </w:r>
    </w:p>
    <w:p>
      <w:pPr>
        <w:spacing w:after="160"/>
      </w:pPr>
      <w:r>
        <w:t xml:space="preserve">There are four subscription tiers: None, Silver, Gold, and Diamond, each unlocking access to higher-value listings and any tier-specific membership perks the platform offers. A listing can be configured to require a minimum tier to register or bid on it — if you don’t currently meet it, you’ll need to upgrade your subscription first. Subscriptions can be purchased for different billing periods (monthly, quarterly, half-yearly, or yearly).</w:t>
      </w:r>
    </w:p>
    <w:p>
      <w:pPr>
        <w:pStyle w:val="Heading1"/>
        <w:pBdr>
          <w:bottom w:val="single" w:color="1F4E79" w:sz="6" w:space="4"/>
        </w:pBdr>
        <w:spacing w:after="200" w:before="480"/>
      </w:pPr>
      <w:r>
        <w:rPr>
          <w:b/>
          <w:bCs/>
          <w:color w:val="1F4E79"/>
        </w:rPr>
        <w:t xml:space="preserve">9. Disputes &amp; Support Chat</w:t>
      </w:r>
    </w:p>
    <w:p>
      <w:pPr>
        <w:spacing w:after="160"/>
      </w:pPr>
      <w:r>
        <w:t xml:space="preserve">If something goes wrong with a completed sale, you can raise a dispute against that auction from your account, and track its status (open, in review, or resolved) as an admin looks into it.</w:t>
      </w:r>
    </w:p>
    <w:p>
      <w:pPr>
        <w:spacing w:after="160"/>
      </w:pPr>
      <w:r>
        <w:t xml:space="preserve">For anything else, a support chat thread is available directly with the SwipeAuctions team — you can send messages and attach images or short videos, and check back for replies.</w:t>
      </w:r>
    </w:p>
    <w:p>
      <w:pPr>
        <w:pStyle w:val="Heading1"/>
        <w:pBdr>
          <w:bottom w:val="single" w:color="1F4E79" w:sz="6" w:space="4"/>
        </w:pBdr>
        <w:spacing w:after="200" w:before="480"/>
      </w:pPr>
      <w:r>
        <w:rPr>
          <w:b/>
          <w:bCs/>
          <w:color w:val="1F4E79"/>
        </w:rPr>
        <w:t xml:space="preserve">10. Exporting Items to Excel</w:t>
      </w:r>
    </w:p>
    <w:p>
      <w:pPr>
        <w:spacing w:after="160"/>
      </w:pPr>
      <w:r>
        <w:t xml:space="preserve">While browsing Auctions, Swipe Stock, or any of the Bank Vehicles / Insurance / Premium / Auto event pages, look for the "⬇ Export to Excel" button near the top of the item list.</w:t>
      </w:r>
    </w:p>
    <w:p>
      <w:pPr>
        <w:spacing w:after="160"/>
      </w:pPr>
      <w:r>
        <w:t xml:space="preserve">It downloads exactly what you’re currently looking at — if you’ve applied filters (category, price range, city, condition, etc.) or searched for something, the exported file matches that filtered view; if you haven’t applied any filters, it exports everything on that page. The exported spreadsheet includes each item’s title, category, brand, condition, location, reserve price, current highest bid, status, timing, bid count, required tier, and any additional detail fields that item carries (e.g. Registration Number, Vehicle Type).</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2026-08-05T15:06:01.285Z</dcterms:created>
  <dcterms:modified xsi:type="dcterms:W3CDTF">2026-08-05T15:06:01.285Z</dcterms:modified>
</cp:coreProperties>
</file>

<file path=docProps/custom.xml><?xml version="1.0" encoding="utf-8"?>
<Properties xmlns="http://schemas.openxmlformats.org/officeDocument/2006/custom-properties" xmlns:vt="http://schemas.openxmlformats.org/officeDocument/2006/docPropsVTypes"/>
</file>