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6177AF" w:rsidP="006177AF">
      <w:pPr>
        <w:pStyle w:val="2"/>
        <w:keepNext w:val="0"/>
        <w:keepLines w:val="0"/>
        <w:widowControl w:val="0"/>
        <w:spacing w:before="0" w:after="0" w:line="240" w:lineRule="auto"/>
        <w:jc w:val="center"/>
        <w:rPr>
          <w:rFonts w:hint="eastAsia"/>
        </w:rPr>
      </w:pPr>
      <w:r>
        <w:rPr>
          <w:rFonts w:hint="eastAsia"/>
        </w:rPr>
        <w:t>PT</w:t>
      </w:r>
      <w:r>
        <w:rPr>
          <w:rFonts w:hint="eastAsia"/>
        </w:rPr>
        <w:t>对称的局域共振型声学模型</w:t>
      </w:r>
    </w:p>
    <w:p w:rsidR="006177AF" w:rsidRDefault="00734355" w:rsidP="00AC5EE8">
      <w:pPr>
        <w:ind w:firstLineChars="200" w:firstLine="440"/>
        <w:rPr>
          <w:rFonts w:hint="eastAsia"/>
        </w:rPr>
      </w:pPr>
      <w:r>
        <w:rPr>
          <w:rFonts w:hint="eastAsia"/>
        </w:rPr>
        <w:t>结构如图</w:t>
      </w:r>
      <w:r>
        <w:rPr>
          <w:rFonts w:hint="eastAsia"/>
        </w:rPr>
        <w:t>1</w:t>
      </w:r>
      <w:r>
        <w:rPr>
          <w:rFonts w:hint="eastAsia"/>
        </w:rPr>
        <w:t>所示，对每个单元的内弹簧劲度系数添加一个虚部，正负交替从而实现</w:t>
      </w:r>
      <w:r>
        <w:rPr>
          <w:rFonts w:hint="eastAsia"/>
        </w:rPr>
        <w:t>PT</w:t>
      </w:r>
      <w:r>
        <w:rPr>
          <w:rFonts w:hint="eastAsia"/>
        </w:rPr>
        <w:t>对称。</w:t>
      </w:r>
    </w:p>
    <w:p w:rsidR="00537A99" w:rsidRDefault="002E1FB7" w:rsidP="002E1FB7">
      <w:pPr>
        <w:widowControl w:val="0"/>
        <w:ind w:firstLineChars="200" w:firstLine="440"/>
        <w:jc w:val="center"/>
      </w:pPr>
      <w:r>
        <w:rPr>
          <w:noProof/>
        </w:rPr>
        <w:drawing>
          <wp:inline distT="0" distB="0" distL="0" distR="0" wp14:anchorId="14D3A574" wp14:editId="04690B53">
            <wp:extent cx="5274310" cy="17922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AF" w:rsidRDefault="00D205A3" w:rsidP="00AC5EE8">
      <w:pPr>
        <w:pStyle w:val="a6"/>
        <w:ind w:firstLineChars="200" w:firstLine="400"/>
        <w:jc w:val="both"/>
        <w:rPr>
          <w:rFonts w:hint="eastAsia"/>
        </w:rPr>
      </w:pPr>
      <w:r>
        <w:rPr>
          <w:rFonts w:hint="eastAsia"/>
        </w:rPr>
        <w:t>图</w:t>
      </w:r>
      <w:fldSimple w:instr=" SEQ Figure \* ARABIC ">
        <w:r w:rsidR="002F2CD5">
          <w:rPr>
            <w:noProof/>
          </w:rPr>
          <w:t>1</w:t>
        </w:r>
      </w:fldSimple>
      <w:r>
        <w:rPr>
          <w:rFonts w:hint="eastAsia"/>
        </w:rPr>
        <w:t xml:space="preserve">. </w:t>
      </w:r>
      <w:r w:rsidR="00AC5EE8">
        <w:rPr>
          <w:rFonts w:hint="eastAsia"/>
        </w:rPr>
        <w:t>两个单元结构为一组，对左边</w:t>
      </w:r>
      <w:r w:rsidR="00564CFC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 w:rsidR="00564CFC">
        <w:rPr>
          <w:rFonts w:hint="eastAsia"/>
        </w:rPr>
        <w:t>个</w:t>
      </w:r>
      <w:r w:rsidR="00AC5EE8">
        <w:rPr>
          <w:rFonts w:hint="eastAsia"/>
        </w:rPr>
        <w:t>单元的内弹簧的劲度系数添加一个</w:t>
      </w:r>
      <w:r w:rsidR="00885330">
        <w:rPr>
          <w:rFonts w:hint="eastAsia"/>
        </w:rPr>
        <w:t>负虚部为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αi</m:t>
            </m:r>
          </m:e>
        </m:d>
      </m:oMath>
      <w:r w:rsidR="00AC5EE8">
        <w:rPr>
          <w:rFonts w:hint="eastAsia"/>
        </w:rPr>
        <w:t>，对右</w:t>
      </w:r>
      <w:r w:rsidR="00AC5EE8">
        <w:rPr>
          <w:rFonts w:hint="eastAsia"/>
        </w:rPr>
        <w:t>边</w:t>
      </w:r>
      <w:r w:rsidR="00564CFC"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 w:rsidR="00564CFC">
        <w:rPr>
          <w:rFonts w:hint="eastAsia"/>
        </w:rPr>
        <w:t>个</w:t>
      </w:r>
      <w:r w:rsidR="00AC5EE8">
        <w:rPr>
          <w:rFonts w:hint="eastAsia"/>
        </w:rPr>
        <w:t>单元的内弹簧的劲度系数添加一个</w:t>
      </w:r>
      <w:r w:rsidR="00885330">
        <w:rPr>
          <w:rFonts w:hint="eastAsia"/>
        </w:rPr>
        <w:t>正虚部为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αi</m:t>
            </m:r>
          </m:e>
        </m:d>
      </m:oMath>
      <w:r w:rsidR="00F6526E">
        <w:rPr>
          <w:rFonts w:hint="eastAsia"/>
        </w:rPr>
        <w:t>，每组之间的距离</w:t>
      </w:r>
      <w:r w:rsidR="00F6526E">
        <w:rPr>
          <w:rFonts w:hint="eastAsia"/>
        </w:rPr>
        <w:t>L=2a</w:t>
      </w:r>
      <w:r w:rsidR="00564CFC">
        <w:rPr>
          <w:rFonts w:hint="eastAsia"/>
        </w:rPr>
        <w:t>。</w:t>
      </w:r>
    </w:p>
    <w:p w:rsidR="00564CFC" w:rsidRDefault="00564CFC" w:rsidP="008623B3">
      <w:pPr>
        <w:ind w:firstLineChars="200" w:firstLine="44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所示，对第</w:t>
      </w:r>
      <w:r>
        <w:rPr>
          <w:rFonts w:hint="eastAsia"/>
        </w:rPr>
        <w:t>i</w:t>
      </w:r>
      <w:r>
        <w:rPr>
          <w:rFonts w:hint="eastAsia"/>
        </w:rPr>
        <w:t>个</w:t>
      </w:r>
      <w:r w:rsidR="00280B45">
        <w:rPr>
          <w:rFonts w:hint="eastAsia"/>
        </w:rPr>
        <w:t>单元</w:t>
      </w:r>
      <w:r>
        <w:rPr>
          <w:rFonts w:hint="eastAsia"/>
        </w:rPr>
        <w:t>（第</w:t>
      </w:r>
      <w:r>
        <w:rPr>
          <w:rFonts w:hint="eastAsia"/>
        </w:rPr>
        <w:t>i</w:t>
      </w:r>
      <w:r>
        <w:rPr>
          <w:rFonts w:hint="eastAsia"/>
        </w:rPr>
        <w:t>个单元为</w:t>
      </w:r>
      <w:r w:rsidR="00280B45">
        <w:rPr>
          <w:rFonts w:hint="eastAsia"/>
        </w:rPr>
        <w:t>loss</w:t>
      </w:r>
      <w:r>
        <w:rPr>
          <w:rFonts w:hint="eastAsia"/>
        </w:rPr>
        <w:t>）</w:t>
      </w:r>
      <w:r w:rsidR="00885330">
        <w:rPr>
          <w:rFonts w:hint="eastAsia"/>
        </w:rPr>
        <w:t>的外包层及内核小球受力分析得到两个方程</w:t>
      </w:r>
      <w:r w:rsidR="00280B45">
        <w:rPr>
          <w:rFonts w:hint="eastAsia"/>
        </w:rPr>
        <w:t>：</w:t>
      </w:r>
    </w:p>
    <w:p w:rsidR="00885330" w:rsidRPr="00885330" w:rsidRDefault="00885330" w:rsidP="00FA023F">
      <w:pPr>
        <w:pStyle w:val="a8"/>
      </w:pPr>
      <m:oMathPara>
        <m:oMathParaPr>
          <m:jc m:val="center"/>
        </m:oMathParaPr>
        <m:oMath>
          <m:r>
            <m:rPr>
              <m:sty m:val="p"/>
            </m:rPr>
            <m:t>M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d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d</m:t>
              </m:r>
              <m:sSup>
                <m:sSupPr>
                  <m:ctrlPr/>
                </m:sSupPr>
                <m:e>
                  <m:r>
                    <m:t>t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K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j-1</m:t>
                  </m:r>
                </m:sub>
              </m:sSub>
              <m:r>
                <m:rPr>
                  <m:sty m:val="p"/>
                </m:rP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K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-2</m:t>
          </m:r>
          <m:r>
            <m:t>G</m:t>
          </m:r>
          <m:d>
            <m:dPr>
              <m:ctrlPr/>
            </m:dPr>
            <m:e>
              <m:r>
                <m:rPr>
                  <m:sty m:val="p"/>
                </m:rPr>
                <m:t>1+</m:t>
              </m:r>
              <m:r>
                <m:t>α</m:t>
              </m:r>
              <m:r>
                <m:rPr>
                  <m:sty m:val="p"/>
                </m:rPr>
                <m:t>i</m:t>
              </m:r>
            </m:e>
          </m:d>
          <m:r>
            <m:rPr>
              <m:sty m:val="p"/>
            </m:rPr>
            <m:t>(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-</m:t>
          </m:r>
          <m:sSub>
            <m:sSubPr>
              <m:ctrlPr/>
            </m:sSubPr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</m:oMath>
      </m:oMathPara>
    </w:p>
    <w:p w:rsidR="00885330" w:rsidRPr="00885330" w:rsidRDefault="00885330" w:rsidP="00885330">
      <w:pPr>
        <w:spacing w:line="220" w:lineRule="atLeast"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85330" w:rsidRDefault="00885330" w:rsidP="00564CFC">
      <w:pPr>
        <w:rPr>
          <w:rFonts w:hint="eastAsia"/>
        </w:rPr>
      </w:pPr>
      <w:r>
        <w:rPr>
          <w:rFonts w:hint="eastAsia"/>
        </w:rPr>
        <w:t>代入布洛赫解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i(kx-ωt)</m:t>
            </m:r>
          </m:sup>
        </m:sSup>
      </m:oMath>
      <w:r w:rsidR="008948B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i(kx-ωt)</m:t>
            </m:r>
          </m:sup>
        </m:sSup>
      </m:oMath>
      <w:r w:rsidR="008948B4">
        <w:rPr>
          <w:rFonts w:hint="eastAsia"/>
        </w:rPr>
        <w:t>，得：</w:t>
      </w:r>
    </w:p>
    <w:p w:rsidR="008948B4" w:rsidRPr="008948B4" w:rsidRDefault="008948B4" w:rsidP="00FA023F">
      <w:pPr>
        <w:pStyle w:val="a8"/>
      </w:pPr>
      <m:oMath>
        <m:r>
          <m:rPr>
            <m:sty m:val="p"/>
          </m:rPr>
          <m:t>-M</m:t>
        </m:r>
        <m:sSup>
          <m:sSupPr>
            <m:ctrlPr/>
          </m:sSupPr>
          <m:e>
            <m:r>
              <m:rPr>
                <m:sty m:val="p"/>
              </m:rPr>
              <m:t>ω</m:t>
            </m:r>
          </m:e>
          <m:sup>
            <m:r>
              <m:rPr>
                <m:sty m:val="p"/>
              </m:rPr>
              <m:t>2</m:t>
            </m:r>
          </m:sup>
        </m:sSup>
        <m:sSub>
          <m:sSubPr>
            <m:ctrlPr/>
          </m:sSubPr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K</m:t>
        </m:r>
        <m:d>
          <m:dPr>
            <m:ctrlPr/>
          </m:dPr>
          <m:e>
            <m:sSub>
              <m:sSubPr>
                <m:ctrlPr/>
              </m:sSubPr>
              <m:e>
                <m:r>
                  <m:rPr>
                    <m:sty m:val="p"/>
                  </m:rPr>
                  <m:t>u</m:t>
                </m:r>
              </m:e>
              <m:sub>
                <m:r>
                  <m:t>j</m:t>
                </m:r>
                <m:r>
                  <m:rPr>
                    <m:sty m:val="p"/>
                  </m:rPr>
                  <m:t>-1</m:t>
                </m:r>
              </m:sub>
            </m:sSub>
            <m:r>
              <m:rPr>
                <m:sty m:val="p"/>
              </m:rPr>
              <m:t>-</m:t>
            </m:r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K</m:t>
        </m:r>
        <m:d>
          <m:dPr>
            <m:ctrlPr/>
          </m:dPr>
          <m:e>
            <m:sSub>
              <m:sSubPr>
                <m:ctrlPr/>
              </m:sSubPr>
              <m:e>
                <m:r>
                  <m:rPr>
                    <m:sty m:val="p"/>
                  </m:rP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-</m:t>
            </m:r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-2</m:t>
        </m:r>
        <m:r>
          <m:t>G</m:t>
        </m:r>
        <m:d>
          <m:dPr>
            <m:ctrlPr/>
          </m:dPr>
          <m:e>
            <m:r>
              <m:rPr>
                <m:sty m:val="p"/>
              </m:rPr>
              <m:t>1+</m:t>
            </m:r>
            <m:r>
              <m:t>α</m:t>
            </m:r>
            <m:r>
              <m:rPr>
                <m:sty m:val="p"/>
              </m:rPr>
              <m:t>i</m:t>
            </m:r>
          </m:e>
        </m:d>
        <m:r>
          <m:rPr>
            <m:sty m:val="p"/>
          </m:rPr>
          <m:t>(</m:t>
        </m:r>
        <m:sSub>
          <m:sSubPr>
            <m:ctrlPr/>
          </m:sSubPr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-</m:t>
        </m:r>
        <m:sSub>
          <m:sSubPr>
            <m:ctrlPr/>
          </m:sSubPr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 w:rsidR="00FA023F">
        <w:rPr>
          <w:rFonts w:hint="eastAsia"/>
        </w:rPr>
        <w:tab/>
        <w:t>(</w:t>
      </w:r>
      <w:r w:rsidR="00FA023F">
        <w:fldChar w:fldCharType="begin"/>
      </w:r>
      <w:r w:rsidR="00FA023F">
        <w:instrText xml:space="preserve"> </w:instrText>
      </w:r>
      <w:r w:rsidR="00FA023F">
        <w:rPr>
          <w:rFonts w:hint="eastAsia"/>
        </w:rPr>
        <w:instrText xml:space="preserve">seq </w:instrText>
      </w:r>
      <w:r w:rsidR="00FA023F">
        <w:rPr>
          <w:rFonts w:hint="eastAsia"/>
        </w:rPr>
        <w:instrText>公式</w:instrText>
      </w:r>
      <w:r w:rsidR="00FA023F">
        <w:instrText xml:space="preserve"> </w:instrText>
      </w:r>
      <w:r w:rsidR="00FA023F">
        <w:fldChar w:fldCharType="separate"/>
      </w:r>
      <w:r w:rsidR="00FA023F">
        <w:rPr>
          <w:noProof/>
        </w:rPr>
        <w:t>1</w:t>
      </w:r>
      <w:r w:rsidR="00FA023F">
        <w:fldChar w:fldCharType="end"/>
      </w:r>
      <w:r w:rsidR="00FA023F">
        <w:rPr>
          <w:rFonts w:hint="eastAsia"/>
        </w:rPr>
        <w:t>)</w:t>
      </w:r>
    </w:p>
    <w:p w:rsidR="008948B4" w:rsidRDefault="008948B4" w:rsidP="00BF7E40">
      <w:pPr>
        <w:pStyle w:val="a8"/>
        <w:ind w:leftChars="902" w:left="1984"/>
      </w:pPr>
      <m:oMath>
        <m:r>
          <m:rPr>
            <m:sty m:val="p"/>
          </m:rPr>
          <m:t>-m</m:t>
        </m:r>
        <m:sSup>
          <m:sSupPr>
            <m:ctrlPr/>
          </m:sSupPr>
          <m:e>
            <m:r>
              <m:rPr>
                <m:sty m:val="p"/>
              </m:rPr>
              <m:t>ω</m:t>
            </m:r>
          </m:e>
          <m:sup>
            <m:r>
              <m:rPr>
                <m:sty m:val="p"/>
              </m:rPr>
              <m:t>2</m:t>
            </m:r>
          </m:sup>
        </m:sSup>
        <m:sSub>
          <m:sSubPr>
            <m:ctrlPr/>
          </m:sSubPr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=2</m:t>
        </m:r>
        <m:r>
          <m:t>G</m:t>
        </m:r>
        <m:d>
          <m:dPr>
            <m:ctrlPr/>
          </m:dPr>
          <m:e>
            <m:r>
              <m:rPr>
                <m:sty m:val="p"/>
              </m:rPr>
              <m:t>1+</m:t>
            </m:r>
            <m:r>
              <m:t>α</m:t>
            </m:r>
            <m:r>
              <m:rPr>
                <m:sty m:val="p"/>
              </m:rPr>
              <m:t>i</m:t>
            </m:r>
          </m:e>
        </m:d>
        <m:r>
          <m:rPr>
            <m:sty m:val="p"/>
          </m:rPr>
          <m:t>(</m:t>
        </m:r>
        <m:sSub>
          <m:sSubPr>
            <m:ctrlPr/>
          </m:sSubPr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-</m:t>
        </m:r>
        <m:sSub>
          <m:sSubPr>
            <m:ctrlPr/>
          </m:sSubPr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 w:rsidR="005B1F8C">
        <w:t xml:space="preserve"> </w:t>
      </w:r>
      <w:r w:rsidR="00FA023F">
        <w:rPr>
          <w:rFonts w:hint="eastAsia"/>
        </w:rPr>
        <w:tab/>
        <w:t>(</w:t>
      </w:r>
      <w:r w:rsidR="00FA023F">
        <w:fldChar w:fldCharType="begin"/>
      </w:r>
      <w:r w:rsidR="00FA023F">
        <w:instrText xml:space="preserve"> </w:instrText>
      </w:r>
      <w:r w:rsidR="00FA023F">
        <w:rPr>
          <w:rFonts w:hint="eastAsia"/>
        </w:rPr>
        <w:instrText xml:space="preserve">seq </w:instrText>
      </w:r>
      <w:r w:rsidR="00FA023F">
        <w:rPr>
          <w:rFonts w:hint="eastAsia"/>
        </w:rPr>
        <w:instrText>公式</w:instrText>
      </w:r>
      <w:r w:rsidR="00FA023F">
        <w:instrText xml:space="preserve"> </w:instrText>
      </w:r>
      <w:r w:rsidR="00FA023F">
        <w:fldChar w:fldCharType="separate"/>
      </w:r>
      <w:r w:rsidR="00FA023F">
        <w:rPr>
          <w:noProof/>
        </w:rPr>
        <w:t>2</w:t>
      </w:r>
      <w:r w:rsidR="00FA023F">
        <w:fldChar w:fldCharType="end"/>
      </w:r>
      <w:r w:rsidR="00FA023F">
        <w:rPr>
          <w:rFonts w:hint="eastAsia"/>
        </w:rPr>
        <w:t>)</w:t>
      </w:r>
    </w:p>
    <w:p w:rsidR="001D0E98" w:rsidRDefault="001D0E98" w:rsidP="00564CFC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(2)</w:t>
      </w:r>
      <w:r>
        <w:rPr>
          <w:rFonts w:hint="eastAsia"/>
        </w:rPr>
        <w:t>可以得到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的关系并代入</w:t>
      </w:r>
      <w:r>
        <w:rPr>
          <w:rFonts w:hint="eastAsia"/>
        </w:rPr>
        <w:t>(1)</w:t>
      </w:r>
      <w:r>
        <w:rPr>
          <w:rFonts w:hint="eastAsia"/>
        </w:rPr>
        <w:t>中得到：</w:t>
      </w:r>
    </w:p>
    <w:p w:rsidR="001D0E98" w:rsidRPr="00BA1385" w:rsidRDefault="001D0E98" w:rsidP="001D0E98">
      <w:pPr>
        <w:ind w:firstLineChars="150" w:firstLine="33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(loss)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=M+m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1+α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1+α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A1385" w:rsidRDefault="00BA1385" w:rsidP="00BA1385">
      <w:pPr>
        <w:spacing w:line="220" w:lineRule="atLeast"/>
        <w:ind w:rightChars="-90" w:right="-198"/>
        <w:rPr>
          <w:rFonts w:hint="eastAsia"/>
        </w:rPr>
      </w:pPr>
      <w:r>
        <w:rPr>
          <w:rFonts w:hint="eastAsia"/>
        </w:rPr>
        <w:t>可以令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loss</m:t>
                </m:r>
              </m:e>
            </m:d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2G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1+α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</m:t>
            </m:r>
          </m:den>
        </m:f>
      </m:oMath>
      <w:r>
        <w:rPr>
          <w:rFonts w:hint="eastAsia"/>
        </w:rPr>
        <w:t>，则上式化简为：</w:t>
      </w:r>
    </w:p>
    <w:p w:rsidR="00BA1385" w:rsidRPr="00BA1385" w:rsidRDefault="00BA1385" w:rsidP="00BA1385">
      <w:pPr>
        <w:spacing w:line="220" w:lineRule="atLeast"/>
        <w:ind w:rightChars="-90" w:right="-198" w:firstLineChars="150" w:firstLine="33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eff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loss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eff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loss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=M+m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loss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loss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   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)</w:t>
      </w:r>
    </w:p>
    <w:p w:rsidR="00280B45" w:rsidRDefault="00280B45" w:rsidP="00280B45">
      <w:pPr>
        <w:ind w:firstLineChars="200" w:firstLine="440"/>
        <w:rPr>
          <w:rFonts w:hint="eastAsia"/>
        </w:rPr>
      </w:pPr>
      <w:r>
        <w:rPr>
          <w:rFonts w:hint="eastAsia"/>
        </w:rPr>
        <w:t>对第</w:t>
      </w:r>
      <w:r>
        <w:rPr>
          <w:rFonts w:hint="eastAsia"/>
        </w:rPr>
        <w:t>j</w:t>
      </w:r>
      <w:r>
        <w:rPr>
          <w:rFonts w:hint="eastAsia"/>
        </w:rPr>
        <w:t>个单元（第</w:t>
      </w:r>
      <w:r>
        <w:rPr>
          <w:rFonts w:hint="eastAsia"/>
        </w:rPr>
        <w:t>j</w:t>
      </w:r>
      <w:r>
        <w:rPr>
          <w:rFonts w:hint="eastAsia"/>
        </w:rPr>
        <w:t>个单元为</w:t>
      </w:r>
      <w:r>
        <w:rPr>
          <w:rFonts w:hint="eastAsia"/>
        </w:rPr>
        <w:t>gain</w:t>
      </w:r>
      <w:r>
        <w:rPr>
          <w:rFonts w:hint="eastAsia"/>
        </w:rPr>
        <w:t>）</w:t>
      </w:r>
      <w:r>
        <w:rPr>
          <w:rFonts w:hint="eastAsia"/>
        </w:rPr>
        <w:t>的外包层及内核小球作类似的受力分析，得到一个类似的方程：</w:t>
      </w:r>
    </w:p>
    <w:p w:rsidR="00BA1385" w:rsidRPr="007D27AB" w:rsidRDefault="00280B45" w:rsidP="007D27AB">
      <w:pPr>
        <w:ind w:firstLineChars="150" w:firstLine="33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eff</m:t>
            </m:r>
            <m:r>
              <m:rPr>
                <m:sty m:val="p"/>
              </m:rPr>
              <w:rPr>
                <w:rFonts w:ascii="Cambria Math" w:hAnsi="Cambria Math"/>
              </w:rPr>
              <m:t>(gain)</m:t>
            </m:r>
          </m:sub>
        </m:sSub>
        <m:r>
          <m:rPr>
            <m:sty m:val="p"/>
          </m:rP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eff</m:t>
            </m:r>
            <m:r>
              <m:rPr>
                <m:sty m:val="p"/>
              </m:rPr>
              <w:rPr>
                <w:rFonts w:ascii="Cambria Math" w:hAnsi="Cambria Math"/>
              </w:rPr>
              <m:t>(gain)</m:t>
            </m:r>
          </m:sub>
        </m:sSub>
        <m:r>
          <m:rPr>
            <m:sty m:val="p"/>
          </m:rPr>
          <w:rPr>
            <w:rFonts w:ascii="Cambria Math" w:hAnsi="Cambria Math"/>
          </w:rPr>
          <m:t>=M+m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gain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gain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7D27AB">
        <w:rPr>
          <w:rFonts w:hint="eastAsia"/>
        </w:rPr>
        <w:tab/>
        <w:t>(</w:t>
      </w:r>
      <w:r w:rsidR="007D27AB">
        <w:fldChar w:fldCharType="begin"/>
      </w:r>
      <w:r w:rsidR="007D27AB">
        <w:instrText xml:space="preserve"> </w:instrText>
      </w:r>
      <w:r w:rsidR="007D27AB">
        <w:rPr>
          <w:rFonts w:hint="eastAsia"/>
        </w:rPr>
        <w:instrText xml:space="preserve">seq </w:instrText>
      </w:r>
      <w:r w:rsidR="007D27AB">
        <w:rPr>
          <w:rFonts w:hint="eastAsia"/>
        </w:rPr>
        <w:instrText>公式</w:instrText>
      </w:r>
      <w:r w:rsidR="007D27AB">
        <w:instrText xml:space="preserve"> </w:instrText>
      </w:r>
      <w:r w:rsidR="007D27AB">
        <w:fldChar w:fldCharType="separate"/>
      </w:r>
      <w:r w:rsidR="007D27AB">
        <w:rPr>
          <w:noProof/>
        </w:rPr>
        <w:t>4</w:t>
      </w:r>
      <w:r w:rsidR="007D27AB">
        <w:fldChar w:fldCharType="end"/>
      </w:r>
      <w:r w:rsidR="007D27AB">
        <w:rPr>
          <w:rFonts w:hint="eastAsia"/>
        </w:rPr>
        <w:t>)</w:t>
      </w:r>
    </w:p>
    <w:p w:rsidR="007D45B2" w:rsidRDefault="007D45B2" w:rsidP="00BA1385">
      <w:pPr>
        <w:rPr>
          <w:rFonts w:hint="eastAsia"/>
        </w:rPr>
      </w:pPr>
      <w:r>
        <w:rPr>
          <w:rFonts w:hint="eastAsia"/>
        </w:rPr>
        <w:lastRenderedPageBreak/>
        <w:t>同样地，式中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gain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2G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1-α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</m:t>
            </m:r>
          </m:den>
        </m:f>
      </m:oMath>
      <w:r>
        <w:rPr>
          <w:rFonts w:hint="eastAsia"/>
        </w:rPr>
        <w:t>。</w:t>
      </w:r>
    </w:p>
    <w:p w:rsidR="004D30E7" w:rsidRDefault="004D30E7" w:rsidP="00F618B2">
      <w:pPr>
        <w:ind w:firstLineChars="200" w:firstLine="440"/>
        <w:rPr>
          <w:rFonts w:hint="eastAsia"/>
        </w:rPr>
      </w:pPr>
      <w:r>
        <w:rPr>
          <w:rFonts w:hint="eastAsia"/>
        </w:rPr>
        <w:t>由布洛赫定理，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ik(2a)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ik(2a)</m:t>
            </m:r>
          </m:sup>
        </m:sSup>
      </m:oMath>
      <w:r>
        <w:rPr>
          <w:rFonts w:hint="eastAsia"/>
        </w:rPr>
        <w:t>，代入</w:t>
      </w:r>
      <w:r>
        <w:rPr>
          <w:rFonts w:hint="eastAsia"/>
        </w:rPr>
        <w:t>(3)</w:t>
      </w:r>
      <w:r>
        <w:rPr>
          <w:rFonts w:hint="eastAsia"/>
        </w:rPr>
        <w:t>与</w:t>
      </w:r>
      <w:r>
        <w:rPr>
          <w:rFonts w:hint="eastAsia"/>
        </w:rPr>
        <w:t>(4)</w:t>
      </w:r>
      <w:r>
        <w:rPr>
          <w:rFonts w:hint="eastAsia"/>
        </w:rPr>
        <w:t>中，得到关于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的方程组：</w:t>
      </w:r>
    </w:p>
    <w:p w:rsidR="004D30E7" w:rsidRPr="00ED74EA" w:rsidRDefault="004D30E7" w:rsidP="004D30E7">
      <w:pPr>
        <w:spacing w:line="220" w:lineRule="atLeast"/>
        <w:ind w:rightChars="-90" w:right="-19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2K-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(loss)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-ik(2a)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ik(2a)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(gain)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4D30E7" w:rsidRDefault="004D30E7" w:rsidP="004D30E7">
      <w:pPr>
        <w:rPr>
          <w:rFonts w:hint="eastAsia"/>
        </w:rPr>
      </w:pPr>
      <w:r>
        <w:rPr>
          <w:rFonts w:hint="eastAsia"/>
        </w:rPr>
        <w:t>要令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有非</w:t>
      </w:r>
      <w:r>
        <w:rPr>
          <w:rFonts w:hint="eastAsia"/>
        </w:rPr>
        <w:t>0</w:t>
      </w:r>
      <w:r>
        <w:rPr>
          <w:rFonts w:hint="eastAsia"/>
        </w:rPr>
        <w:t>解，方程组的系数行列式要求为</w:t>
      </w:r>
      <w:r>
        <w:rPr>
          <w:rFonts w:hint="eastAsia"/>
        </w:rPr>
        <w:t>0</w:t>
      </w:r>
      <w:r w:rsidR="006F18BC">
        <w:rPr>
          <w:rFonts w:hint="eastAsia"/>
        </w:rPr>
        <w:t>：</w:t>
      </w:r>
    </w:p>
    <w:p w:rsidR="006F18BC" w:rsidRPr="006F18BC" w:rsidRDefault="004D30E7" w:rsidP="006D0965">
      <w:pPr>
        <w:spacing w:line="220" w:lineRule="atLeast"/>
        <w:ind w:leftChars="387" w:left="1416" w:rightChars="553" w:right="1217" w:hangingChars="257" w:hanging="565"/>
        <w:rPr>
          <w:rFonts w:hint="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2K-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(loss)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  <m:r>
                              <w:rPr>
                                <w:rFonts w:ascii="Cambria Math" w:hAnsi="Cambria Math"/>
                              </w:rPr>
                              <m:t>k(2a)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k(2a)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eff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(gain)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6D0965" w:rsidRPr="006D0965" w:rsidRDefault="006F18BC" w:rsidP="006D0965">
      <w:pPr>
        <w:spacing w:line="220" w:lineRule="atLeast"/>
        <w:ind w:left="110" w:rightChars="553" w:right="1217" w:hangingChars="50" w:hanging="110"/>
      </w:pPr>
      <w:r>
        <w:rPr>
          <w:rFonts w:hint="eastAsia"/>
        </w:rPr>
        <w:t>最终得到一个色散关系：</w:t>
      </w:r>
    </w:p>
    <w:p w:rsidR="004D30E7" w:rsidRPr="006D0965" w:rsidRDefault="000048DA" w:rsidP="006D0965">
      <w:pPr>
        <w:spacing w:line="220" w:lineRule="atLeast"/>
        <w:ind w:leftChars="516" w:left="1276" w:rightChars="489" w:right="1076" w:hangingChars="64" w:hanging="141"/>
        <w:rPr>
          <w:rFonts w:hint="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2K-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2ka</m:t>
                  </m:r>
                </m:e>
              </m:d>
            </m:e>
          </m:d>
        </m:oMath>
      </m:oMathPara>
    </w:p>
    <w:p w:rsidR="006D0965" w:rsidRDefault="007E2B76" w:rsidP="006D0965">
      <w:pPr>
        <w:spacing w:line="220" w:lineRule="atLeast"/>
        <w:ind w:rightChars="553" w:right="1217"/>
        <w:rPr>
          <w:rFonts w:hint="eastAsia"/>
        </w:rPr>
      </w:pPr>
      <w:r>
        <w:rPr>
          <w:rFonts w:hint="eastAsia"/>
        </w:rPr>
        <w:t>总结为三个等式：</w:t>
      </w:r>
    </w:p>
    <w:p w:rsidR="006F18BC" w:rsidRPr="008C3E2E" w:rsidRDefault="000048DA" w:rsidP="004D30E7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2K-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2ka</m:t>
                          </m:r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，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，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:rsidR="008C3E2E" w:rsidRDefault="008C3E2E" w:rsidP="004D30E7">
      <w:pPr>
        <w:rPr>
          <w:rFonts w:hint="eastAsia"/>
        </w:rPr>
      </w:pPr>
      <w:r>
        <w:rPr>
          <w:rFonts w:hint="eastAsia"/>
        </w:rPr>
        <w:t>代入参数</w:t>
      </w:r>
      <w:r>
        <w:rPr>
          <w:rFonts w:hint="eastAsia"/>
        </w:rPr>
        <w:t>K=1.25</w:t>
      </w:r>
      <w:r>
        <w:rPr>
          <w:rFonts w:hint="eastAsia"/>
        </w:rPr>
        <w:t>，</w:t>
      </w:r>
      <w:r>
        <w:rPr>
          <w:rFonts w:hint="eastAsia"/>
        </w:rPr>
        <w:t>m=0.5</w:t>
      </w:r>
      <w:r>
        <w:rPr>
          <w:rFonts w:hint="eastAsia"/>
        </w:rPr>
        <w:t>，</w:t>
      </w:r>
      <w:r>
        <w:rPr>
          <w:rFonts w:hint="eastAsia"/>
        </w:rPr>
        <w:t>M=1.0</w:t>
      </w:r>
      <w:r>
        <w:rPr>
          <w:rFonts w:hint="eastAsia"/>
        </w:rPr>
        <w:t>，</w:t>
      </w:r>
      <w:r>
        <w:rPr>
          <w:rFonts w:hint="eastAsia"/>
        </w:rPr>
        <w:t>G=0.25</w:t>
      </w:r>
      <w:r>
        <w:rPr>
          <w:rFonts w:hint="eastAsia"/>
        </w:rPr>
        <w:t>，α</w:t>
      </w:r>
      <w:r>
        <w:rPr>
          <w:rFonts w:hint="eastAsia"/>
        </w:rPr>
        <w:t>=0.2</w:t>
      </w:r>
      <w:r>
        <w:rPr>
          <w:rFonts w:hint="eastAsia"/>
        </w:rPr>
        <w:t>，扫描波矢</w:t>
      </w:r>
      <w:r>
        <w:rPr>
          <w:rFonts w:hint="eastAsia"/>
        </w:rPr>
        <w:t>k</w:t>
      </w:r>
      <w:r>
        <w:rPr>
          <w:rFonts w:hint="eastAsia"/>
        </w:rPr>
        <w:t>，扫描范围为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2a</m:t>
                </m:r>
              </m:den>
            </m:f>
          </m:e>
        </m:d>
      </m:oMath>
      <w:r>
        <w:rPr>
          <w:rFonts w:hint="eastAsia"/>
        </w:rPr>
        <w:t>，可以得到色散关系曲线</w:t>
      </w:r>
      <w:r w:rsidR="00D81392">
        <w:rPr>
          <w:rFonts w:hint="eastAsia"/>
        </w:rPr>
        <w:t>如图</w:t>
      </w:r>
      <w:r w:rsidR="00D81392">
        <w:rPr>
          <w:rFonts w:hint="eastAsia"/>
        </w:rPr>
        <w:t>2</w:t>
      </w:r>
      <w:r w:rsidR="007212DB">
        <w:rPr>
          <w:rFonts w:hint="eastAsia"/>
        </w:rPr>
        <w:t>(a)</w:t>
      </w:r>
      <w:r w:rsidR="00D81392">
        <w:rPr>
          <w:rFonts w:hint="eastAsia"/>
        </w:rPr>
        <w:t>所示，</w:t>
      </w:r>
      <w:r w:rsidR="002208CA">
        <w:rPr>
          <w:rFonts w:hint="eastAsia"/>
        </w:rPr>
        <w:t>图</w:t>
      </w:r>
      <w:r w:rsidR="00D81392">
        <w:rPr>
          <w:rFonts w:hint="eastAsia"/>
        </w:rPr>
        <w:t>中红线代表所求的频率的虚部，可以看到，每一个非零虚部的</w:t>
      </w:r>
      <w:r w:rsidR="00EE7AB9">
        <w:rPr>
          <w:rFonts w:hint="eastAsia"/>
        </w:rPr>
        <w:t>出现对应着一个实部的重合，频率实部发生重合的频率对应一个奇异点，当令虚部因子α</w:t>
      </w:r>
      <w:r w:rsidR="00EE7AB9">
        <w:rPr>
          <w:rFonts w:hint="eastAsia"/>
        </w:rPr>
        <w:t>=0.3</w:t>
      </w:r>
      <w:r w:rsidR="00EE7AB9">
        <w:rPr>
          <w:rFonts w:hint="eastAsia"/>
        </w:rPr>
        <w:t>时，原本中间的带隙也出现了重合，相应地虚部也出现非</w:t>
      </w:r>
      <w:r w:rsidR="00EE7AB9">
        <w:rPr>
          <w:rFonts w:hint="eastAsia"/>
        </w:rPr>
        <w:t>0</w:t>
      </w:r>
      <w:r w:rsidR="007212DB">
        <w:rPr>
          <w:rFonts w:hint="eastAsia"/>
        </w:rPr>
        <w:t>(</w:t>
      </w:r>
      <w:r w:rsidR="007212DB">
        <w:rPr>
          <w:rFonts w:hint="eastAsia"/>
        </w:rPr>
        <w:t>对应图</w:t>
      </w:r>
      <w:r w:rsidR="007212DB">
        <w:rPr>
          <w:rFonts w:hint="eastAsia"/>
        </w:rPr>
        <w:t>2(b))</w:t>
      </w:r>
      <w:r w:rsidR="00EE7AB9">
        <w:rPr>
          <w:rFonts w:hint="eastAsia"/>
        </w:rPr>
        <w:t>。</w:t>
      </w:r>
    </w:p>
    <w:p w:rsidR="002208CA" w:rsidRDefault="00183FB9" w:rsidP="00183F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6C0292" wp14:editId="0068D5B5">
            <wp:extent cx="5274310" cy="27861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5C" w:rsidRDefault="00C73C5C" w:rsidP="00183FB9">
      <w:r>
        <w:rPr>
          <w:noProof/>
        </w:rPr>
        <w:drawing>
          <wp:inline distT="0" distB="0" distL="0" distR="0" wp14:anchorId="7640B84A" wp14:editId="15214716">
            <wp:extent cx="5274310" cy="27940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92" w:rsidRDefault="002208CA" w:rsidP="00183FB9">
      <w:pPr>
        <w:pStyle w:val="a6"/>
        <w:jc w:val="both"/>
        <w:rPr>
          <w:rFonts w:hint="eastAsia"/>
        </w:rPr>
      </w:pPr>
      <w:r>
        <w:rPr>
          <w:rFonts w:hint="eastAsia"/>
        </w:rPr>
        <w:t>图</w:t>
      </w:r>
      <w:r>
        <w:t xml:space="preserve"> </w:t>
      </w:r>
      <w:fldSimple w:instr=" SEQ Figure \* ARABIC ">
        <w:r w:rsidR="002F2CD5">
          <w:rPr>
            <w:noProof/>
          </w:rPr>
          <w:t>2</w:t>
        </w:r>
      </w:fldSimple>
      <w:r>
        <w:rPr>
          <w:rFonts w:hint="eastAsia"/>
        </w:rPr>
        <w:t>色散曲线，</w:t>
      </w:r>
      <w:r w:rsidR="00574435">
        <w:rPr>
          <w:rFonts w:hint="eastAsia"/>
        </w:rPr>
        <w:t>横坐标波矢，纵坐标频率</w:t>
      </w:r>
      <w:r>
        <w:rPr>
          <w:rFonts w:hint="eastAsia"/>
        </w:rPr>
        <w:t>蓝色代表</w:t>
      </w:r>
      <w:r w:rsidR="00183FB9">
        <w:rPr>
          <w:rFonts w:hint="eastAsia"/>
        </w:rPr>
        <w:t>通过色散关系求得的频率的实部，红色代表通过色散关系求得的频率的虚部，每一次虚部出现非</w:t>
      </w:r>
      <w:r w:rsidR="00183FB9">
        <w:rPr>
          <w:rFonts w:hint="eastAsia"/>
        </w:rPr>
        <w:t>0</w:t>
      </w:r>
      <w:r w:rsidR="00183FB9">
        <w:rPr>
          <w:rFonts w:hint="eastAsia"/>
        </w:rPr>
        <w:t>对应这一次实部的重合，即</w:t>
      </w:r>
      <w:r w:rsidR="00282DB9">
        <w:rPr>
          <w:rFonts w:hint="eastAsia"/>
        </w:rPr>
        <w:t>对应一个</w:t>
      </w:r>
      <w:r w:rsidR="00183FB9">
        <w:rPr>
          <w:rFonts w:hint="eastAsia"/>
        </w:rPr>
        <w:t>奇异点的出现。</w:t>
      </w:r>
    </w:p>
    <w:p w:rsidR="00071506" w:rsidRDefault="00D81392" w:rsidP="004D30E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comsol</w:t>
      </w:r>
      <w:r>
        <w:rPr>
          <w:rFonts w:hint="eastAsia"/>
        </w:rPr>
        <w:t>仿真</w:t>
      </w:r>
      <w:r w:rsidR="00EE7AB9">
        <w:rPr>
          <w:rFonts w:hint="eastAsia"/>
        </w:rPr>
        <w:t>验证上面的结构，使用环氧树脂加橡胶包层来类比图</w:t>
      </w:r>
      <w:r w:rsidR="00EE7AB9">
        <w:rPr>
          <w:rFonts w:hint="eastAsia"/>
        </w:rPr>
        <w:t>1</w:t>
      </w:r>
      <w:r w:rsidR="00EE7AB9">
        <w:rPr>
          <w:rFonts w:hint="eastAsia"/>
        </w:rPr>
        <w:t>的结构，</w:t>
      </w:r>
      <w:r w:rsidR="00EE7AB9" w:rsidRPr="00EE7AB9">
        <w:rPr>
          <w:rFonts w:hint="eastAsia"/>
        </w:rPr>
        <w:t>图</w:t>
      </w:r>
      <w:r w:rsidR="00EE7AB9" w:rsidRPr="00EE7AB9">
        <w:rPr>
          <w:rFonts w:hint="eastAsia"/>
        </w:rPr>
        <w:t>1</w:t>
      </w:r>
      <w:r w:rsidR="00EE7AB9" w:rsidRPr="00EE7AB9">
        <w:rPr>
          <w:rFonts w:hint="eastAsia"/>
        </w:rPr>
        <w:t>中</w:t>
      </w:r>
      <w:r w:rsidR="00EE7AB9" w:rsidRPr="00EE7AB9">
        <w:rPr>
          <w:rFonts w:hint="eastAsia"/>
          <w:color w:val="FF0000"/>
        </w:rPr>
        <w:t>内弹簧的劲度系数</w:t>
      </w:r>
      <w:r w:rsidR="00EE7AB9" w:rsidRPr="00EE7AB9">
        <w:rPr>
          <w:rFonts w:hint="eastAsia"/>
          <w:color w:val="FF0000"/>
        </w:rPr>
        <w:t>G</w:t>
      </w:r>
      <w:r w:rsidR="00EE7AB9" w:rsidRPr="00EE7AB9">
        <w:rPr>
          <w:rFonts w:hint="eastAsia"/>
          <w:color w:val="FF0000"/>
        </w:rPr>
        <w:t>添加虚部的效果通过对橡胶</w:t>
      </w:r>
      <w:r w:rsidR="00393E3C">
        <w:rPr>
          <w:rFonts w:hint="eastAsia"/>
          <w:color w:val="FF0000"/>
        </w:rPr>
        <w:t>包层</w:t>
      </w:r>
      <w:r w:rsidR="00EE7AB9" w:rsidRPr="00EE7AB9">
        <w:rPr>
          <w:rFonts w:hint="eastAsia"/>
          <w:color w:val="FF0000"/>
        </w:rPr>
        <w:t>的拉梅常数</w:t>
      </w:r>
      <w:r w:rsidR="00EE7AB9" w:rsidRPr="00EE7AB9">
        <w:rPr>
          <w:rFonts w:hint="eastAsia"/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λ</m:t>
        </m:r>
        <m:r>
          <m:rPr>
            <m:sty m:val="p"/>
          </m:rPr>
          <w:rPr>
            <w:rFonts w:ascii="Cambria Math" w:hAnsi="Cambria Math"/>
            <w:color w:val="FF0000"/>
          </w:rPr>
          <m:t>，</m:t>
        </m:r>
        <m:r>
          <m:rPr>
            <m:sty m:val="p"/>
          </m:rPr>
          <w:rPr>
            <w:rFonts w:ascii="Cambria Math" w:hAnsi="Cambria Math"/>
            <w:color w:val="FF0000"/>
          </w:rPr>
          <m:t>μ</m:t>
        </m:r>
      </m:oMath>
      <w:r w:rsidR="00EE7AB9" w:rsidRPr="00EE7AB9">
        <w:rPr>
          <w:rFonts w:hint="eastAsia"/>
          <w:color w:val="FF0000"/>
        </w:rPr>
        <w:t xml:space="preserve"> </w:t>
      </w:r>
      <w:r w:rsidR="00EE7AB9" w:rsidRPr="00EE7AB9">
        <w:rPr>
          <w:rFonts w:hint="eastAsia"/>
          <w:color w:val="FF0000"/>
        </w:rPr>
        <w:t>添加同样大小的虚部来</w:t>
      </w:r>
      <w:r w:rsidR="00CD3DB5">
        <w:rPr>
          <w:rFonts w:hint="eastAsia"/>
          <w:color w:val="FF0000"/>
        </w:rPr>
        <w:t>类比</w:t>
      </w:r>
      <w:r w:rsidR="00EE7AB9">
        <w:rPr>
          <w:rFonts w:hint="eastAsia"/>
        </w:rPr>
        <w:t>，</w:t>
      </w:r>
      <w:r w:rsidR="00CD3DB5">
        <w:rPr>
          <w:rFonts w:hint="eastAsia"/>
        </w:rPr>
        <w:t>环氧树脂的拉梅常数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=4.437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N/m²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=1.588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N/m²</m:t>
        </m:r>
      </m:oMath>
      <w:r w:rsidR="00CD3DB5">
        <w:rPr>
          <w:rFonts w:hint="eastAsia"/>
        </w:rPr>
        <w:t>，橡胶包层的</w:t>
      </w:r>
      <w:r w:rsidR="00CD3DB5">
        <w:rPr>
          <w:rFonts w:hint="eastAsia"/>
        </w:rPr>
        <w:t>拉梅常数</w:t>
      </w:r>
      <m:oMath>
        <m:r>
          <m:rPr>
            <m:sty m:val="p"/>
          </m:rP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/>
          </w:rPr>
          <m:t>2.21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(1±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N/m²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μ=</m:t>
        </m:r>
        <m:r>
          <m:rPr>
            <m:sty m:val="p"/>
          </m:rPr>
          <w:rPr>
            <w:rFonts w:ascii="Cambria Math" w:hAnsi="Cambria Math"/>
          </w:rPr>
          <m:t>5.2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×(1±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N/m²</m:t>
        </m:r>
      </m:oMath>
      <w:r w:rsidR="00393E3C">
        <w:rPr>
          <w:rFonts w:hint="eastAsia"/>
        </w:rPr>
        <w:t xml:space="preserve"> </w:t>
      </w:r>
      <w:r w:rsidR="00393E3C">
        <w:rPr>
          <w:rFonts w:hint="eastAsia"/>
        </w:rPr>
        <w:t>，</w:t>
      </w:r>
      <w:r w:rsidR="00EE7AB9">
        <w:rPr>
          <w:rFonts w:hint="eastAsia"/>
        </w:rPr>
        <w:t>仿真得到的色散曲线</w:t>
      </w:r>
      <w:r w:rsidR="00393E3C">
        <w:rPr>
          <w:rFonts w:hint="eastAsia"/>
        </w:rPr>
        <w:t>如图</w:t>
      </w:r>
      <w:r w:rsidR="00393E3C">
        <w:rPr>
          <w:rFonts w:hint="eastAsia"/>
        </w:rPr>
        <w:t>3</w:t>
      </w:r>
      <w:r w:rsidR="00393E3C">
        <w:rPr>
          <w:rFonts w:hint="eastAsia"/>
        </w:rPr>
        <w:t>所示，其中</w:t>
      </w:r>
      <w:r w:rsidR="00393E3C">
        <w:rPr>
          <w:rFonts w:hint="eastAsia"/>
        </w:rPr>
        <w:t>a</w:t>
      </w:r>
      <w:r w:rsidR="00393E3C">
        <w:rPr>
          <w:rFonts w:hint="eastAsia"/>
        </w:rPr>
        <w:t>取值为</w:t>
      </w:r>
      <w:r w:rsidR="002F2CD5">
        <w:rPr>
          <w:rFonts w:hint="eastAsia"/>
        </w:rPr>
        <w:t>0.4</w:t>
      </w:r>
      <w:r w:rsidR="00393E3C">
        <w:rPr>
          <w:rFonts w:hint="eastAsia"/>
        </w:rPr>
        <w:t>。</w:t>
      </w:r>
    </w:p>
    <w:p w:rsidR="002F2CD5" w:rsidRDefault="002F2CD5" w:rsidP="004D30E7">
      <w:pPr>
        <w:rPr>
          <w:rFonts w:hint="eastAsia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.55pt;margin-top:1.15pt;width:33.5pt;height:23.75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 filled="f" stroked="f">
            <v:textbox style="mso-next-textbox:#_x0000_s1034">
              <w:txbxContent>
                <w:p w:rsidR="002F2CD5" w:rsidRDefault="002F2CD5">
                  <w:r>
                    <w:rPr>
                      <w:rFonts w:hint="eastAsia"/>
                    </w:rPr>
                    <w:t>(a)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 wp14:anchorId="10FE2F55" wp14:editId="026A83F5">
            <wp:extent cx="5274310" cy="30009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D5" w:rsidRDefault="002F2CD5" w:rsidP="002F2CD5">
      <w:pPr>
        <w:widowControl w:val="0"/>
      </w:pPr>
      <w:r>
        <w:rPr>
          <w:noProof/>
        </w:rPr>
        <w:pict>
          <v:shape id="_x0000_s1035" type="#_x0000_t202" style="position:absolute;margin-left:36.9pt;margin-top:13.75pt;width:30.6pt;height:22.7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>
            <v:textbox>
              <w:txbxContent>
                <w:p w:rsidR="002F2CD5" w:rsidRDefault="002F2CD5">
                  <w:r>
                    <w:rPr>
                      <w:rFonts w:hint="eastAsia"/>
                    </w:rPr>
                    <w:t>(b)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 wp14:anchorId="1348D3BC" wp14:editId="6BEFA08C">
            <wp:extent cx="5274310" cy="28160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35" w:rsidRPr="002F2CD5" w:rsidRDefault="002F2CD5" w:rsidP="002F2CD5">
      <w:pPr>
        <w:pStyle w:val="a6"/>
        <w:rPr>
          <w:rFonts w:hint="eastAsia"/>
        </w:rPr>
      </w:pPr>
      <w:r>
        <w:rPr>
          <w:rFonts w:hint="eastAsia"/>
        </w:rPr>
        <w:t>图</w:t>
      </w:r>
      <w:r>
        <w:t xml:space="preserve">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</w:rPr>
        <w:t xml:space="preserve"> (a)comsol</w:t>
      </w:r>
      <w:r>
        <w:rPr>
          <w:rFonts w:hint="eastAsia"/>
        </w:rPr>
        <w:t>仿真模型结构，基质为水，包层为橡胶，内核为环氧树脂；</w:t>
      </w:r>
      <w:r>
        <w:rPr>
          <w:rFonts w:hint="eastAsia"/>
        </w:rPr>
        <w:t>(b)</w:t>
      </w:r>
      <w:r>
        <w:rPr>
          <w:rFonts w:hint="eastAsia"/>
        </w:rPr>
        <w:t>仿真结果，横坐标为波矢，纵坐标为频率。</w:t>
      </w:r>
      <w:bookmarkStart w:id="0" w:name="_GoBack"/>
      <w:bookmarkEnd w:id="0"/>
    </w:p>
    <w:p w:rsidR="00CD3DB5" w:rsidRDefault="00E80B85" w:rsidP="004D30E7">
      <w:pPr>
        <w:rPr>
          <w:rFonts w:hint="eastAsia"/>
        </w:rPr>
      </w:pPr>
      <w:r>
        <w:rPr>
          <w:rFonts w:hint="eastAsia"/>
        </w:rPr>
        <w:t>计算一维结构</w:t>
      </w:r>
      <w:r w:rsidR="00FB4E4D">
        <w:rPr>
          <w:rFonts w:hint="eastAsia"/>
        </w:rPr>
        <w:t>（图</w:t>
      </w:r>
      <w:r w:rsidR="00FB4E4D">
        <w:rPr>
          <w:rFonts w:hint="eastAsia"/>
        </w:rPr>
        <w:t>4</w:t>
      </w:r>
      <w:r w:rsidR="00EF3653">
        <w:rPr>
          <w:rFonts w:hint="eastAsia"/>
        </w:rPr>
        <w:t>(a)</w:t>
      </w:r>
      <w:r w:rsidR="00FB4E4D">
        <w:rPr>
          <w:rFonts w:hint="eastAsia"/>
        </w:rPr>
        <w:t>）</w:t>
      </w:r>
      <w:r>
        <w:rPr>
          <w:rFonts w:hint="eastAsia"/>
        </w:rPr>
        <w:t>透</w:t>
      </w:r>
      <w:r>
        <w:rPr>
          <w:rFonts w:hint="eastAsia"/>
        </w:rPr>
        <w:t>/</w:t>
      </w:r>
      <w:r>
        <w:rPr>
          <w:rFonts w:hint="eastAsia"/>
        </w:rPr>
        <w:t>反射谱</w:t>
      </w:r>
      <w:r w:rsidR="00FB4E4D">
        <w:rPr>
          <w:rFonts w:hint="eastAsia"/>
        </w:rPr>
        <w:t>，发现了单向传输现象</w:t>
      </w:r>
      <w:r w:rsidR="00EF3653">
        <w:rPr>
          <w:rFonts w:hint="eastAsia"/>
        </w:rPr>
        <w:t>(</w:t>
      </w:r>
      <w:r w:rsidR="00EF3653">
        <w:rPr>
          <w:rFonts w:hint="eastAsia"/>
        </w:rPr>
        <w:t>图</w:t>
      </w:r>
      <w:r w:rsidR="00EF3653">
        <w:rPr>
          <w:rFonts w:hint="eastAsia"/>
        </w:rPr>
        <w:t>4(b))</w:t>
      </w:r>
      <w:r w:rsidR="00FB4E4D">
        <w:rPr>
          <w:rFonts w:hint="eastAsia"/>
        </w:rPr>
        <w:t>，图</w:t>
      </w:r>
      <w:r w:rsidR="00FB4E4D">
        <w:rPr>
          <w:rFonts w:hint="eastAsia"/>
        </w:rPr>
        <w:t>4</w:t>
      </w:r>
      <w:r w:rsidR="00FB4E4D">
        <w:rPr>
          <w:rFonts w:hint="eastAsia"/>
        </w:rPr>
        <w:t>的</w:t>
      </w:r>
      <w:r>
        <w:rPr>
          <w:rFonts w:hint="eastAsia"/>
        </w:rPr>
        <w:t>材料和</w:t>
      </w:r>
      <w:r w:rsidR="00FB4E4D">
        <w:rPr>
          <w:rFonts w:hint="eastAsia"/>
        </w:rPr>
        <w:t>参数和图</w:t>
      </w:r>
      <w:r w:rsidR="00FB4E4D">
        <w:rPr>
          <w:rFonts w:hint="eastAsia"/>
        </w:rPr>
        <w:t>3</w:t>
      </w:r>
      <w:r w:rsidR="00C94E24">
        <w:rPr>
          <w:rFonts w:hint="eastAsia"/>
        </w:rPr>
        <w:t>一样。</w:t>
      </w:r>
    </w:p>
    <w:p w:rsidR="00FC57B2" w:rsidRDefault="00FC57B2" w:rsidP="00FC57B2">
      <w:pPr>
        <w:jc w:val="center"/>
        <w:rPr>
          <w:rFonts w:hint="eastAsia"/>
        </w:rPr>
      </w:pPr>
      <w:r>
        <w:rPr>
          <w:noProof/>
        </w:rPr>
        <w:pict>
          <v:shape id="_x0000_s1033" type="#_x0000_t202" style="position:absolute;left:0;text-align:left;margin-left:11.55pt;margin-top:2pt;width:33.5pt;height:23.75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 filled="f" stroked="f">
            <v:textbox style="mso-next-textbox:#_x0000_s1033">
              <w:txbxContent>
                <w:p w:rsidR="00FC57B2" w:rsidRDefault="00FC57B2">
                  <w:r>
                    <w:rPr>
                      <w:rFonts w:hint="eastAsia"/>
                    </w:rPr>
                    <w:t>(a)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 wp14:anchorId="62EEFF1D" wp14:editId="05BDD6BA">
            <wp:extent cx="5274310" cy="6940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53" w:rsidRDefault="00DA3C2F" w:rsidP="00EF3653">
      <w:pPr>
        <w:widowControl w:val="0"/>
      </w:pPr>
      <w:r>
        <w:rPr>
          <w:noProof/>
        </w:rPr>
        <w:lastRenderedPageBreak/>
        <w:pict>
          <v:rect id="_x0000_s1032" style="position:absolute;margin-left:184pt;margin-top:42pt;width:10pt;height:156pt;z-index:251661312" filled="f" strokecolor="#00b050" strokeweight="1.75pt"/>
        </w:pict>
      </w:r>
      <w:r>
        <w:rPr>
          <w:noProof/>
        </w:rPr>
        <w:pict>
          <v:rect id="_x0000_s1031" style="position:absolute;margin-left:150.5pt;margin-top:78.5pt;width:7pt;height:119.5pt;z-index:251660288;mso-position-horizontal:absolute" filled="f" strokecolor="#00b050" strokeweight="1.75pt"/>
        </w:pict>
      </w:r>
      <w:r w:rsidR="003260FB">
        <w:rPr>
          <w:noProof/>
        </w:rPr>
        <w:pict>
          <v:shape id="文本框 2" o:spid="_x0000_s1030" type="#_x0000_t202" style="position:absolute;margin-left:26.9pt;margin-top:10.5pt;width:30.6pt;height:22.7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>
            <v:textbox>
              <w:txbxContent>
                <w:p w:rsidR="003260FB" w:rsidRDefault="003260FB">
                  <w:r>
                    <w:rPr>
                      <w:rFonts w:hint="eastAsia"/>
                    </w:rPr>
                    <w:t>(b)</w:t>
                  </w:r>
                </w:p>
              </w:txbxContent>
            </v:textbox>
          </v:shape>
        </w:pict>
      </w:r>
      <w:r w:rsidR="00EF3653">
        <w:rPr>
          <w:noProof/>
        </w:rPr>
        <w:drawing>
          <wp:inline distT="0" distB="0" distL="0" distR="0" wp14:anchorId="674B1B25" wp14:editId="475D3C4C">
            <wp:extent cx="5274310" cy="28746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55" w:rsidRPr="00F60155" w:rsidRDefault="00EF3653" w:rsidP="00574435">
      <w:pPr>
        <w:pStyle w:val="a6"/>
        <w:rPr>
          <w:rFonts w:ascii="Tahoma" w:hAnsi="Tahoma" w:hint="eastAsia"/>
        </w:rPr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 xml:space="preserve">4 </w:t>
      </w:r>
      <w:r w:rsidR="000F51D1">
        <w:rPr>
          <w:rFonts w:hint="eastAsia"/>
        </w:rPr>
        <w:t>超元胞结构</w:t>
      </w:r>
      <w:r w:rsidR="000F51D1">
        <w:rPr>
          <w:rFonts w:hint="eastAsia"/>
        </w:rPr>
        <w:t>(a)</w:t>
      </w:r>
      <w:r w:rsidR="000F51D1">
        <w:rPr>
          <w:rFonts w:hint="eastAsia"/>
        </w:rPr>
        <w:t>和</w:t>
      </w:r>
      <w:r>
        <w:rPr>
          <w:rFonts w:hint="eastAsia"/>
        </w:rPr>
        <w:t>透</w:t>
      </w:r>
      <w:r w:rsidR="000F51D1">
        <w:rPr>
          <w:rFonts w:hint="eastAsia"/>
        </w:rPr>
        <w:t>/</w:t>
      </w:r>
      <w:r w:rsidR="000F51D1">
        <w:rPr>
          <w:rFonts w:hint="eastAsia"/>
        </w:rPr>
        <w:t>反</w:t>
      </w:r>
      <w:r>
        <w:rPr>
          <w:rFonts w:hint="eastAsia"/>
        </w:rPr>
        <w:t>射谱</w:t>
      </w:r>
      <w:r w:rsidR="000F51D1">
        <w:rPr>
          <w:rFonts w:hint="eastAsia"/>
        </w:rPr>
        <w:t>(b)</w:t>
      </w:r>
      <w:r w:rsidR="000F51D1">
        <w:rPr>
          <w:rFonts w:hint="eastAsia"/>
        </w:rPr>
        <w:t>，</w:t>
      </w:r>
      <w:r w:rsidR="000F51D1">
        <w:rPr>
          <w:rFonts w:hint="eastAsia"/>
        </w:rPr>
        <w:t>(a)</w:t>
      </w:r>
      <w:r w:rsidR="000F51D1">
        <w:rPr>
          <w:rFonts w:hint="eastAsia"/>
        </w:rPr>
        <w:t>中的参数和图</w:t>
      </w:r>
      <w:r w:rsidR="000F51D1">
        <w:rPr>
          <w:rFonts w:hint="eastAsia"/>
        </w:rPr>
        <w:t>3</w:t>
      </w:r>
      <w:r w:rsidR="000F51D1">
        <w:rPr>
          <w:rFonts w:hint="eastAsia"/>
        </w:rPr>
        <w:t>一样，</w:t>
      </w:r>
      <w:r w:rsidR="000F51D1">
        <w:rPr>
          <w:rFonts w:hint="eastAsia"/>
        </w:rPr>
        <w:t>(b)</w:t>
      </w:r>
      <w:r w:rsidR="000F51D1">
        <w:rPr>
          <w:rFonts w:hint="eastAsia"/>
        </w:rPr>
        <w:t>中的透</w:t>
      </w:r>
      <w:r w:rsidR="000F51D1">
        <w:rPr>
          <w:rFonts w:hint="eastAsia"/>
        </w:rPr>
        <w:t>/</w:t>
      </w:r>
      <w:r w:rsidR="000F51D1">
        <w:rPr>
          <w:rFonts w:hint="eastAsia"/>
        </w:rPr>
        <w:t>反射谱对应虚部因子</w:t>
      </w:r>
      <w:r w:rsidR="000F51D1">
        <w:rPr>
          <w:rFonts w:hint="eastAsia"/>
        </w:rPr>
        <w:t>a=0.4</w:t>
      </w:r>
      <w:r w:rsidR="003260FB">
        <w:rPr>
          <w:rFonts w:hint="eastAsia"/>
        </w:rPr>
        <w:t>，从</w:t>
      </w:r>
      <w:r w:rsidR="003260FB">
        <w:rPr>
          <w:rFonts w:hint="eastAsia"/>
        </w:rPr>
        <w:t>(b)</w:t>
      </w:r>
      <w:r w:rsidR="003260FB">
        <w:rPr>
          <w:rFonts w:hint="eastAsia"/>
        </w:rPr>
        <w:t>中可以看出在频率</w:t>
      </w:r>
      <w:r w:rsidR="003260FB">
        <w:rPr>
          <w:rFonts w:hint="eastAsia"/>
        </w:rPr>
        <w:t>2600Hz~2750Hz</w:t>
      </w:r>
      <w:r w:rsidR="003260FB">
        <w:rPr>
          <w:rFonts w:hint="eastAsia"/>
        </w:rPr>
        <w:t>之间有两个单向传输点</w:t>
      </w:r>
      <w:r w:rsidR="00DA3C2F">
        <w:rPr>
          <w:rFonts w:hint="eastAsia"/>
        </w:rPr>
        <w:t>，一个是右入射单向传输，一个是左入射单向传输。</w:t>
      </w:r>
    </w:p>
    <w:sectPr w:rsidR="00F60155" w:rsidRPr="00F601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7BA" w:rsidRDefault="00BE07BA" w:rsidP="006177AF">
      <w:pPr>
        <w:spacing w:after="0"/>
      </w:pPr>
      <w:r>
        <w:separator/>
      </w:r>
    </w:p>
  </w:endnote>
  <w:endnote w:type="continuationSeparator" w:id="0">
    <w:p w:rsidR="00BE07BA" w:rsidRDefault="00BE07BA" w:rsidP="006177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7BA" w:rsidRDefault="00BE07BA" w:rsidP="006177AF">
      <w:pPr>
        <w:spacing w:after="0"/>
      </w:pPr>
      <w:r>
        <w:separator/>
      </w:r>
    </w:p>
  </w:footnote>
  <w:footnote w:type="continuationSeparator" w:id="0">
    <w:p w:rsidR="00BE07BA" w:rsidRDefault="00BE07BA" w:rsidP="006177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1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48DA"/>
    <w:rsid w:val="00071506"/>
    <w:rsid w:val="000F51D1"/>
    <w:rsid w:val="00121ADA"/>
    <w:rsid w:val="00183FB9"/>
    <w:rsid w:val="001D0E98"/>
    <w:rsid w:val="002208CA"/>
    <w:rsid w:val="00275EB8"/>
    <w:rsid w:val="00280B45"/>
    <w:rsid w:val="00282DB9"/>
    <w:rsid w:val="002E1FB7"/>
    <w:rsid w:val="002F2CD5"/>
    <w:rsid w:val="00323B43"/>
    <w:rsid w:val="003260FB"/>
    <w:rsid w:val="00393E3C"/>
    <w:rsid w:val="003D37D8"/>
    <w:rsid w:val="00426133"/>
    <w:rsid w:val="004358AB"/>
    <w:rsid w:val="004D30E7"/>
    <w:rsid w:val="00531286"/>
    <w:rsid w:val="00537A99"/>
    <w:rsid w:val="00564CFC"/>
    <w:rsid w:val="00574435"/>
    <w:rsid w:val="005B1F8C"/>
    <w:rsid w:val="006177AF"/>
    <w:rsid w:val="006252A0"/>
    <w:rsid w:val="006D0965"/>
    <w:rsid w:val="006F18BC"/>
    <w:rsid w:val="007212DB"/>
    <w:rsid w:val="00734355"/>
    <w:rsid w:val="007D27AB"/>
    <w:rsid w:val="007D45B2"/>
    <w:rsid w:val="007E2B76"/>
    <w:rsid w:val="008623B3"/>
    <w:rsid w:val="00885330"/>
    <w:rsid w:val="008948B4"/>
    <w:rsid w:val="008B7726"/>
    <w:rsid w:val="008C3E2E"/>
    <w:rsid w:val="008F7535"/>
    <w:rsid w:val="00AC5EE8"/>
    <w:rsid w:val="00B615A9"/>
    <w:rsid w:val="00BA1385"/>
    <w:rsid w:val="00BE07BA"/>
    <w:rsid w:val="00BF7E40"/>
    <w:rsid w:val="00C73C5C"/>
    <w:rsid w:val="00C94E24"/>
    <w:rsid w:val="00CD3DB5"/>
    <w:rsid w:val="00CE666D"/>
    <w:rsid w:val="00D205A3"/>
    <w:rsid w:val="00D31D50"/>
    <w:rsid w:val="00D81392"/>
    <w:rsid w:val="00DA3C2F"/>
    <w:rsid w:val="00DB5028"/>
    <w:rsid w:val="00E67897"/>
    <w:rsid w:val="00E80B85"/>
    <w:rsid w:val="00EE7AB9"/>
    <w:rsid w:val="00EF3653"/>
    <w:rsid w:val="00F60155"/>
    <w:rsid w:val="00F618B2"/>
    <w:rsid w:val="00F6526E"/>
    <w:rsid w:val="00FA023F"/>
    <w:rsid w:val="00FB4E4D"/>
    <w:rsid w:val="00FC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7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7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77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77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77AF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77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37A9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7A99"/>
    <w:rPr>
      <w:rFonts w:ascii="Tahoma" w:hAnsi="Tahoma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537A99"/>
    <w:rPr>
      <w:rFonts w:asciiTheme="majorHAnsi" w:eastAsia="黑体" w:hAnsiTheme="majorHAnsi" w:cstheme="majorBidi"/>
      <w:sz w:val="20"/>
      <w:szCs w:val="20"/>
    </w:rPr>
  </w:style>
  <w:style w:type="character" w:styleId="a7">
    <w:name w:val="Placeholder Text"/>
    <w:basedOn w:val="a0"/>
    <w:uiPriority w:val="99"/>
    <w:semiHidden/>
    <w:rsid w:val="00AC5EE8"/>
    <w:rPr>
      <w:color w:val="808080"/>
    </w:rPr>
  </w:style>
  <w:style w:type="paragraph" w:customStyle="1" w:styleId="a8">
    <w:name w:val="公式"/>
    <w:basedOn w:val="a"/>
    <w:qFormat/>
    <w:rsid w:val="00FA023F"/>
    <w:pPr>
      <w:tabs>
        <w:tab w:val="right" w:pos="6600"/>
        <w:tab w:val="right" w:pos="8800"/>
      </w:tabs>
      <w:spacing w:line="220" w:lineRule="atLeast"/>
      <w:jc w:val="center"/>
    </w:pPr>
    <w:rPr>
      <w:rFonts w:ascii="Cambria Math" w:hAnsi="Cambria Ma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5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44</cp:revision>
  <dcterms:created xsi:type="dcterms:W3CDTF">2008-09-11T17:20:00Z</dcterms:created>
  <dcterms:modified xsi:type="dcterms:W3CDTF">2019-03-26T09:01:00Z</dcterms:modified>
</cp:coreProperties>
</file>