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Vikram Nair</w:t>
      </w:r>
    </w:p>
    <w:p>
      <w:r>
        <w:rPr>
          <w:i/>
        </w:rPr>
        <w:t>Chartered Accountant</w:t>
      </w:r>
    </w:p>
    <w:p>
      <w:r>
        <w:t>vikram.nair@example.com  |  +91 96330 55667  |  Hyderabad, Telangana</w:t>
      </w:r>
    </w:p>
    <w:p>
      <w:pPr>
        <w:pStyle w:val="Heading1"/>
      </w:pPr>
      <w:r>
        <w:t>Summary</w:t>
      </w:r>
    </w:p>
    <w:p>
      <w:r>
        <w:t>Recently qualified Chartered Accountant (2026) with articleship experience across audit and taxation. Comfortable with core accounting and compliance fundamentals; seeking a role to build post-qualification depth.</w:t>
      </w:r>
    </w:p>
    <w:p>
      <w:pPr>
        <w:pStyle w:val="Heading1"/>
      </w:pPr>
      <w:r>
        <w:t>Experience</w:t>
      </w:r>
    </w:p>
    <w:p>
      <w:r>
        <w:rPr>
          <w:b/>
        </w:rPr>
        <w:t>Article Assistant — Bhaskar &amp; Nair Associates</w:t>
      </w:r>
    </w:p>
    <w:p>
      <w:r>
        <w:rPr>
          <w:i/>
        </w:rPr>
        <w:t>Jun 2023 – May 2026  |  Hyderabad</w:t>
      </w:r>
    </w:p>
    <w:p>
      <w:pPr>
        <w:pStyle w:val="ListBullet"/>
      </w:pPr>
      <w:r>
        <w:t>Assisted in statutory audit fieldwork for three private limited companies, including vouching and ledger scrutiny.</w:t>
      </w:r>
    </w:p>
    <w:p>
      <w:pPr>
        <w:pStyle w:val="ListBullet"/>
      </w:pPr>
      <w:r>
        <w:t>Supported preparation of GST returns (GSTR-1, 3B) for a handful of small business clients under supervision.</w:t>
      </w:r>
    </w:p>
    <w:p>
      <w:pPr>
        <w:pStyle w:val="ListBullet"/>
      </w:pPr>
      <w:r>
        <w:t>Exposure to Tally for voucher entry and basic report generation during audit assignments.</w:t>
      </w:r>
    </w:p>
    <w:p>
      <w:pPr>
        <w:pStyle w:val="ListBullet"/>
      </w:pPr>
      <w:r>
        <w:t>Assisted in preparation of financial statements up to Trial Balance for two clients.</w:t>
      </w:r>
    </w:p>
    <w:p>
      <w:pPr>
        <w:pStyle w:val="ListBullet"/>
      </w:pPr>
      <w:r>
        <w:t>Supported bank reconciliation and general ledger checks during quarterly review engagements.</w:t>
      </w:r>
    </w:p>
    <w:p>
      <w:pPr>
        <w:pStyle w:val="Heading1"/>
      </w:pPr>
      <w:r>
        <w:t>Education</w:t>
      </w:r>
    </w:p>
    <w:p>
      <w:pPr>
        <w:pStyle w:val="ListBullet"/>
      </w:pPr>
      <w:r>
        <w:t>Chartered Accountant — Institute of Chartered Accountants of India (ICAI), 2026</w:t>
      </w:r>
    </w:p>
    <w:p>
      <w:pPr>
        <w:pStyle w:val="ListBullet"/>
      </w:pPr>
      <w:r>
        <w:t>B.Com, St. Francis College, Hyderabad — 2023, 74%</w:t>
      </w:r>
    </w:p>
    <w:p>
      <w:pPr>
        <w:pStyle w:val="Heading1"/>
      </w:pPr>
      <w:r>
        <w:t>Skills</w:t>
      </w:r>
    </w:p>
    <w:p>
      <w:r>
        <w:t>Tally (working knowledge from articleship), MS Excel — basic to intermediate, Statutory audit fieldwork, GST return preparation (supervised), Bank reconciliation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ICAI Advanced Integrated Course on Information Technology and Soft Skills (Advanced ICITSS) —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