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60"/>
        </w:rPr>
        <w:t>BOOMI BOSS ENGINE</w:t>
      </w:r>
    </w:p>
    <w:p>
      <w:pPr>
        <w:jc w:val="center"/>
      </w:pPr>
      <w:r>
        <w:rPr>
          <w:b/>
          <w:sz w:val="36"/>
        </w:rPr>
        <w:t>MASTER REFERENCE &amp; ARCHITECTURE MANUAL</w:t>
      </w:r>
    </w:p>
    <w:p>
      <w:pPr>
        <w:jc w:val="center"/>
      </w:pPr>
      <w:r>
        <w:rPr>
          <w:i/>
          <w:color w:val="595959"/>
          <w:sz w:val="24"/>
        </w:rPr>
        <w:t>User, Architecture, Testing, Keyboard Shortcuts &amp; Future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Borders>
              <w:top w:val="single" w:sz="8" w:color="AAB7C4"/>
              <w:left w:val="single" w:sz="8" w:color="AAB7C4"/>
              <w:bottom w:val="single" w:sz="8" w:color="AAB7C4"/>
              <w:right w:val="single" w:sz="8" w:color="AAB7C4"/>
            </w:tcBorders>
          </w:tcPr>
          <w:p>
            <w:r>
              <w:rPr>
                <w:b/>
                <w:sz w:val="22"/>
              </w:rPr>
              <w:t>Purpose</w:t>
            </w:r>
          </w:p>
          <w:p>
            <w:pPr>
              <w:spacing w:after="0"/>
            </w:pPr>
            <w:r>
              <w:t>A single, readable reference manual for the current workspace, architecture, master shortcuts, testing workflow, and future roadmap. This document preserves the provided project content and restructures diagrams into Word-friendly visual blocks.</w:t>
            </w:r>
          </w:p>
        </w:tc>
      </w:tr>
    </w:tbl>
    <w:p/>
    <w:p>
      <w:r>
        <w:rPr>
          <w:b/>
          <w:sz w:val="32"/>
        </w:rPr>
        <w:t>Contents</w:t>
      </w:r>
    </w:p>
    <w:p>
      <w:pPr>
        <w:pStyle w:val="ListNumber"/>
      </w:pPr>
      <w:r>
        <w:t>1. Project Folder &amp; Workspace Directory Map</w:t>
      </w:r>
    </w:p>
    <w:p>
      <w:pPr>
        <w:pStyle w:val="ListNumber"/>
      </w:pPr>
      <w:r>
        <w:t>2. Core System Architecture &amp; Data Flow</w:t>
      </w:r>
    </w:p>
    <w:p>
      <w:pPr>
        <w:pStyle w:val="ListNumber"/>
      </w:pPr>
      <w:r>
        <w:t>3. Master Shortcuts Reference</w:t>
      </w:r>
    </w:p>
    <w:p>
      <w:pPr>
        <w:pStyle w:val="ListNumber"/>
      </w:pPr>
      <w:r>
        <w:t>4. How to Run, Test, and Package the App</w:t>
      </w:r>
    </w:p>
    <w:p>
      <w:pPr>
        <w:pStyle w:val="ListNumber"/>
      </w:pPr>
      <w:r>
        <w:t>5. Future Roadmap &amp; Unimplemented Extensions</w:t>
      </w:r>
    </w:p>
    <w:p>
      <w:r>
        <w:br w:type="page"/>
      </w:r>
    </w:p>
    <w:p>
      <w:pPr>
        <w:pStyle w:val="Heading1"/>
      </w:pPr>
      <w:r>
        <w:t>1. Project Folder &amp; Workspace Directory Map</w:t>
      </w:r>
    </w:p>
    <w:p>
      <w:r>
        <w:t>Your workspace is organized as a clean, modular, production-grade Electron application: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Path / File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knowledge/</w:t>
            </w:r>
          </w:p>
        </w:tc>
        <w:tc>
          <w:tcPr>
            <w:tcW w:type="dxa" w:w="5040"/>
          </w:tcPr>
          <w:p>
            <w:r>
              <w:t>Local intelligence files (zero-latency RAG).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knowledge/scenarios.json</w:t>
            </w:r>
          </w:p>
        </w:tc>
        <w:tc>
          <w:tcPr>
            <w:tcW w:type="dxa" w:w="5040"/>
          </w:tcPr>
          <w:p>
            <w:r>
              <w:t>The Master Scenario Bank containing 300+ exact-match technical interview questions and expert answers for sub-10ms local retrieval.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knowledge/resume.md</w:t>
            </w:r>
          </w:p>
        </w:tc>
        <w:tc>
          <w:tcPr>
            <w:tcW w:type="dxa" w:w="5040"/>
          </w:tcPr>
          <w:p>
            <w:r>
              <w:t>The candidate's real professional history, acting as the first-person truth persona layer.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knowledge/job-description.md</w:t>
            </w:r>
          </w:p>
        </w:tc>
        <w:tc>
          <w:tcPr>
            <w:tcW w:type="dxa" w:w="5040"/>
          </w:tcPr>
          <w:p>
            <w:r>
              <w:t>Target role parameters and technical focus areas used to shape relevance.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test/</w:t>
            </w:r>
          </w:p>
        </w:tc>
        <w:tc>
          <w:tcPr>
            <w:tcW w:type="dxa" w:w="5040"/>
          </w:tcPr>
          <w:p>
            <w:r>
              <w:t>Automated test harnesses.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test/engine.test.js</w:t>
            </w:r>
          </w:p>
        </w:tc>
        <w:tc>
          <w:tcPr>
            <w:tcW w:type="dxa" w:w="5040"/>
          </w:tcPr>
          <w:p>
            <w:r>
              <w:t>Core engine unit tests covering state machine transitions, rolling conversation memory, confidence scoring, and local scenario bypasses.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test/diagnostics.test.js</w:t>
            </w:r>
          </w:p>
        </w:tc>
        <w:tc>
          <w:tcPr>
            <w:tcW w:type="dxa" w:w="5040"/>
          </w:tcPr>
          <w:p>
            <w:r>
              <w:t>Validation tests for the JSONL/TXT interaction timeline logger.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test/audio-pipeline.test.js</w:t>
            </w:r>
          </w:p>
        </w:tc>
        <w:tc>
          <w:tcPr>
            <w:tcW w:type="dxa" w:w="5040"/>
          </w:tcPr>
          <w:p>
            <w:r>
              <w:t>Audio constraints validation and Deepgram streaming URL builder checks.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logs/</w:t>
            </w:r>
          </w:p>
        </w:tc>
        <w:tc>
          <w:tcPr>
            <w:tcW w:type="dxa" w:w="5040"/>
          </w:tcPr>
          <w:p>
            <w:r>
              <w:t>Timestamped session logs capturing interaction timelines when debug diagnostics are active.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dist/</w:t>
            </w:r>
          </w:p>
        </w:tc>
        <w:tc>
          <w:tcPr>
            <w:tcW w:type="dxa" w:w="5040"/>
          </w:tcPr>
          <w:p>
            <w:r>
              <w:t>Output directory generated when packaging the application into a standalone Windows .exe via Electron Builder.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main.js</w:t>
            </w:r>
          </w:p>
        </w:tc>
        <w:tc>
          <w:tcPr>
            <w:tcW w:type="dxa" w:w="5040"/>
          </w:tcPr>
          <w:p>
            <w:r>
              <w:t>Backend Electron process managing window geometry, transparency/background colors, stealth screen-protection (setContentProtection), and global OS shortcut registrations.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index.html</w:t>
            </w:r>
          </w:p>
        </w:tc>
        <w:tc>
          <w:tcPr>
            <w:tcW w:type="dxa" w:w="5040"/>
          </w:tcPr>
          <w:p>
            <w:r>
              <w:t>Floating overlay frontend UI, dark-mode teleprompter styling, and IPC event listener orchestration.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engine.js</w:t>
            </w:r>
          </w:p>
        </w:tc>
        <w:tc>
          <w:tcPr>
            <w:tcW w:type="dxa" w:w="5040"/>
          </w:tcPr>
          <w:p>
            <w:r>
              <w:t>Pure logic Interview Engine (DOM-free), handling silence/speech boundaries, rolling conversation memory (last 4 turns), Groq streaming orchestration, and candidate response grading.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audio-pipeline.js</w:t>
            </w:r>
          </w:p>
        </w:tc>
        <w:tc>
          <w:tcPr>
            <w:tcW w:type="dxa" w:w="5040"/>
          </w:tcPr>
          <w:p>
            <w:r>
              <w:t>WebRTC audio configuration (noiseSuppression, echoCancellation, autoGainControl), Deepgram WebSocket integration (filler_words=false), and candidate personal microphone capture (startCandidateAudio).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diagnostics.js</w:t>
            </w:r>
          </w:p>
        </w:tc>
        <w:tc>
          <w:tcPr>
            <w:tcW w:type="dxa" w:w="5040"/>
          </w:tcPr>
          <w:p>
            <w:r>
              <w:t>Observability module tracking event sequences and performance metrics.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domain-vocabulary.js</w:t>
            </w:r>
          </w:p>
        </w:tc>
        <w:tc>
          <w:tcPr>
            <w:tcW w:type="dxa" w:w="5040"/>
          </w:tcPr>
          <w:p>
            <w:r>
              <w:t>Single source of truth for domain-specific STT keyterms and linguistic incomplete hooks.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package.json</w:t>
            </w:r>
          </w:p>
        </w:tc>
        <w:tc>
          <w:tcPr>
            <w:tcW w:type="dxa" w:w="5040"/>
          </w:tcPr>
          <w:p>
            <w:r>
              <w:t>Project dependencies (@deepgram/sdk, electron) and build scripts (npm run build).</w:t>
            </w:r>
          </w:p>
        </w:tc>
      </w:tr>
    </w:tbl>
    <w:p>
      <w:pPr>
        <w:pStyle w:val="Heading1"/>
      </w:pPr>
      <w:r>
        <w:t>2. Core System Architecture &amp; Data Flow</w:t>
      </w:r>
    </w:p>
    <w:p>
      <w:r>
        <w:t>The application relies on a parallelized, high-speed architecture designed to eliminate cloud latency and present a seamless teleprompter experience: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DCE6F1"/>
          </w:tcPr>
          <w:p>
            <w:pPr>
              <w:spacing w:after="0" w:before="0"/>
              <w:jc w:val="center"/>
            </w:pPr>
            <w:r>
              <w:rPr>
                <w:b/>
                <w:sz w:val="20"/>
              </w:rPr>
              <w:t>System / Interviewer Audio</w:t>
            </w:r>
          </w:p>
        </w:tc>
      </w:tr>
      <w:tr>
        <w:tc>
          <w:tcPr>
            <w:tcW w:type="dxa" w:w="10080"/>
            <w:shd w:fill="FFFFFF"/>
          </w:tcPr>
          <w:p>
            <w:pPr>
              <w:spacing w:after="0" w:before="0"/>
              <w:jc w:val="center"/>
            </w:pPr>
            <w:r>
              <w:rPr>
                <w:color w:val="646464"/>
                <w:sz w:val="24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E2F0D9"/>
          </w:tcPr>
          <w:p>
            <w:pPr>
              <w:spacing w:after="0" w:before="0"/>
              <w:jc w:val="center"/>
            </w:pPr>
            <w:r>
              <w:rPr>
                <w:b w:val="0"/>
                <w:sz w:val="20"/>
              </w:rPr>
              <w:t>Phase 8: Native WebRTC Noise Suppression &amp; Echo Cancellation</w:t>
            </w:r>
          </w:p>
        </w:tc>
      </w:tr>
      <w:tr>
        <w:tc>
          <w:tcPr>
            <w:tcW w:type="dxa" w:w="10080"/>
            <w:shd w:fill="FFFFFF"/>
          </w:tcPr>
          <w:p>
            <w:pPr>
              <w:spacing w:after="0" w:before="0"/>
              <w:jc w:val="center"/>
            </w:pPr>
            <w:r>
              <w:rPr>
                <w:color w:val="646464"/>
                <w:sz w:val="24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D9EAF7"/>
          </w:tcPr>
          <w:p>
            <w:pPr>
              <w:spacing w:after="0" w:before="0"/>
              <w:jc w:val="center"/>
            </w:pPr>
            <w:r>
              <w:rPr>
                <w:b/>
                <w:sz w:val="20"/>
              </w:rPr>
              <w:t>Deepgram API Nova-3</w:t>
            </w:r>
          </w:p>
        </w:tc>
      </w:tr>
      <w:tr>
        <w:tc>
          <w:tcPr>
            <w:tcW w:type="dxa" w:w="10080"/>
            <w:shd w:fill="FFFFFF"/>
          </w:tcPr>
          <w:p>
            <w:pPr>
              <w:spacing w:after="0" w:before="0"/>
              <w:jc w:val="center"/>
            </w:pPr>
            <w:r>
              <w:rPr>
                <w:color w:val="646464"/>
                <w:sz w:val="24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EAF2F8"/>
          </w:tcPr>
          <w:p>
            <w:pPr>
              <w:spacing w:after="0" w:before="0"/>
              <w:jc w:val="center"/>
            </w:pPr>
            <w:r>
              <w:rPr>
                <w:b w:val="0"/>
                <w:sz w:val="20"/>
              </w:rPr>
              <w:t>Filtered via filler_words=false &amp; domain keyterms</w:t>
            </w:r>
          </w:p>
        </w:tc>
      </w:tr>
      <w:tr>
        <w:tc>
          <w:tcPr>
            <w:tcW w:type="dxa" w:w="10080"/>
            <w:shd w:fill="FFFFFF"/>
          </w:tcPr>
          <w:p>
            <w:pPr>
              <w:spacing w:after="0" w:before="0"/>
              <w:jc w:val="center"/>
            </w:pPr>
            <w:r>
              <w:rPr>
                <w:color w:val="646464"/>
                <w:sz w:val="24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b/>
                <w:sz w:val="20"/>
              </w:rPr>
              <w:t>InterviewEngine State Machine</w:t>
            </w:r>
          </w:p>
        </w:tc>
      </w:tr>
      <w:tr>
        <w:tc>
          <w:tcPr>
            <w:tcW w:type="dxa" w:w="10080"/>
            <w:shd w:fill="FFFFFF"/>
          </w:tcPr>
          <w:p>
            <w:pPr>
              <w:spacing w:after="0" w:before="0"/>
              <w:jc w:val="center"/>
            </w:pPr>
            <w:r>
              <w:rPr>
                <w:color w:val="646464"/>
                <w:sz w:val="24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E2F0D9"/>
          </w:tcPr>
          <w:p>
            <w:pPr>
              <w:spacing w:after="0" w:before="0"/>
              <w:jc w:val="center"/>
            </w:pPr>
            <w:r>
              <w:rPr>
                <w:b/>
                <w:sz w:val="20"/>
              </w:rPr>
              <w:t>Fast-Path: scenarios.json (Local RAG)</w:t>
            </w:r>
          </w:p>
        </w:tc>
      </w:tr>
      <w:tr>
        <w:tc>
          <w:tcPr>
            <w:tcW w:type="dxa" w:w="10080"/>
            <w:shd w:fill="FFFFFF"/>
          </w:tcPr>
          <w:p>
            <w:pPr>
              <w:spacing w:after="0" w:before="0"/>
              <w:jc w:val="center"/>
            </w:pPr>
            <w:r>
              <w:rPr>
                <w:color w:val="646464"/>
                <w:sz w:val="24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C6E0B4"/>
          </w:tcPr>
          <w:p>
            <w:pPr>
              <w:spacing w:after="0" w:before="0"/>
              <w:jc w:val="center"/>
            </w:pPr>
            <w:r>
              <w:rPr>
                <w:b w:val="0"/>
                <w:sz w:val="20"/>
              </w:rPr>
              <w:t>Hit? Instant (&lt;10ms) Green Answer</w:t>
            </w:r>
          </w:p>
        </w:tc>
      </w:tr>
      <w:tr>
        <w:tc>
          <w:tcPr>
            <w:tcW w:type="dxa" w:w="10080"/>
            <w:shd w:fill="FFFFFF"/>
          </w:tcPr>
          <w:p>
            <w:pPr>
              <w:spacing w:after="0" w:before="0"/>
              <w:jc w:val="center"/>
            </w:pPr>
            <w:r>
              <w:rPr>
                <w:color w:val="646464"/>
                <w:sz w:val="24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FCE4D6"/>
          </w:tcPr>
          <w:p>
            <w:pPr>
              <w:spacing w:after="0" w:before="0"/>
              <w:jc w:val="center"/>
            </w:pPr>
            <w:r>
              <w:rPr>
                <w:b/>
                <w:sz w:val="20"/>
              </w:rPr>
              <w:t>Fallback: Groq LLM Streaming</w:t>
            </w:r>
          </w:p>
        </w:tc>
      </w:tr>
      <w:tr>
        <w:tc>
          <w:tcPr>
            <w:tcW w:type="dxa" w:w="10080"/>
            <w:shd w:fill="FFFFFF"/>
          </w:tcPr>
          <w:p>
            <w:pPr>
              <w:spacing w:after="0" w:before="0"/>
              <w:jc w:val="center"/>
            </w:pPr>
            <w:r>
              <w:rPr>
                <w:color w:val="646464"/>
                <w:sz w:val="24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FCE4D6"/>
          </w:tcPr>
          <w:p>
            <w:pPr>
              <w:spacing w:after="0" w:before="0"/>
              <w:jc w:val="center"/>
            </w:pPr>
            <w:r>
              <w:rPr>
                <w:b w:val="0"/>
                <w:sz w:val="20"/>
              </w:rPr>
              <w:t>Phase 5 Opener Flash + Phase 6 Rolling Memory</w:t>
            </w:r>
          </w:p>
        </w:tc>
      </w:tr>
      <w:tr>
        <w:tc>
          <w:tcPr>
            <w:tcW w:type="dxa" w:w="10080"/>
            <w:shd w:fill="FFFFFF"/>
          </w:tcPr>
          <w:p>
            <w:pPr>
              <w:spacing w:after="0" w:before="0"/>
              <w:jc w:val="center"/>
            </w:pPr>
            <w:r>
              <w:rPr>
                <w:color w:val="646464"/>
                <w:sz w:val="24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EDEDED"/>
          </w:tcPr>
          <w:p>
            <w:pPr>
              <w:spacing w:after="0" w:before="0"/>
              <w:jc w:val="center"/>
            </w:pPr>
            <w:r>
              <w:rPr>
                <w:b/>
                <w:sz w:val="20"/>
              </w:rPr>
              <w:t>Teleprompter UI (#answer-box)</w:t>
            </w:r>
          </w:p>
        </w:tc>
      </w:tr>
      <w:tr>
        <w:tc>
          <w:tcPr>
            <w:tcW w:type="dxa" w:w="10080"/>
            <w:shd w:fill="FFFFFF"/>
          </w:tcPr>
          <w:p>
            <w:pPr>
              <w:spacing w:after="0" w:before="0"/>
              <w:jc w:val="center"/>
            </w:pPr>
            <w:r>
              <w:rPr>
                <w:color w:val="646464"/>
                <w:sz w:val="24"/>
              </w:rPr>
              <w:t>↓</w:t>
            </w:r>
          </w:p>
        </w:tc>
      </w:tr>
      <w:tr>
        <w:tc>
          <w:tcPr>
            <w:tcW w:type="dxa" w:w="10080"/>
            <w:vAlign w:val="center"/>
            <w:shd w:fill="EDEDED"/>
          </w:tcPr>
          <w:p>
            <w:pPr>
              <w:spacing w:after="0" w:before="0"/>
              <w:jc w:val="center"/>
            </w:pPr>
            <w:r>
              <w:rPr>
                <w:b w:val="0"/>
                <w:sz w:val="20"/>
              </w:rPr>
              <w:t>Auto-scrolls; confidence color: Green / Yellow / Red</w:t>
            </w:r>
          </w:p>
        </w:tc>
      </w:tr>
    </w:tbl>
    <w:p>
      <w:r>
        <w:rPr>
          <w:b/>
        </w:rPr>
        <w:t>Key Architectural Pillars:</w:t>
      </w:r>
    </w:p>
    <w:p>
      <w:r>
        <w:rPr>
          <w:b/>
        </w:rPr>
        <w:t xml:space="preserve">Local First, Cloud Second: </w:t>
      </w:r>
      <w:r>
        <w:t>Exact-match technical questions bypass network latency entirely using local keyword matching against scenarios.json.</w:t>
      </w:r>
    </w:p>
    <w:p>
      <w:r>
        <w:rPr>
          <w:b/>
        </w:rPr>
        <w:t xml:space="preserve">Linguistic Locking: </w:t>
      </w:r>
      <w:r>
        <w:t>The engine inspects the final word of an utterance; if it ends in a preposition or connector (e.g., “between”, “into”), it unconditionally waits for the speaker to finish, preventing premature triggering.</w:t>
      </w:r>
    </w:p>
    <w:p>
      <w:r>
        <w:rPr>
          <w:b/>
        </w:rPr>
        <w:t xml:space="preserve">Stealth God Mode: </w:t>
      </w:r>
      <w:r>
        <w:t>Window content protection (setContentProtection(true)) ensures the overlay remains invisible to screen-sharing and recording software like Zoom, Teams, Google Meet, or OBS.</w:t>
      </w:r>
    </w:p>
    <w:p>
      <w:r>
        <w:rPr>
          <w:b/>
        </w:rPr>
        <w:t xml:space="preserve">Phase 10 Candidate Analysis: </w:t>
      </w:r>
      <w:r>
        <w:t>A secondary physical microphone pipeline (Alt+V) records the candidate’s spoken answer and grades it against the expected answer via Groq (Alt+A), displaying an 8-second scorecard.</w:t>
      </w:r>
    </w:p>
    <w:p>
      <w:pPr>
        <w:pStyle w:val="Heading1"/>
      </w:pPr>
      <w:r>
        <w:t>3. Master Shortcuts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Hotkey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Alt + S</w:t>
            </w:r>
          </w:p>
        </w:tc>
        <w:tc>
          <w:tcPr>
            <w:tcW w:type="dxa" w:w="3360"/>
          </w:tcPr>
          <w:p>
            <w:r>
              <w:t>Toggle Listen</w:t>
            </w:r>
          </w:p>
        </w:tc>
        <w:tc>
          <w:tcPr>
            <w:tcW w:type="dxa" w:w="3360"/>
          </w:tcPr>
          <w:p>
            <w:r>
              <w:t>Pauses or resumes live audio transcription and engine processing.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Alt + C</w:t>
            </w:r>
          </w:p>
        </w:tc>
        <w:tc>
          <w:tcPr>
            <w:tcW w:type="dxa" w:w="3360"/>
          </w:tcPr>
          <w:p>
            <w:r>
              <w:t>Clear</w:t>
            </w:r>
          </w:p>
        </w:tc>
        <w:tc>
          <w:tcPr>
            <w:tcW w:type="dxa" w:w="3360"/>
          </w:tcPr>
          <w:p>
            <w:r>
              <w:t>Clears the current question buffer, transcript display, and answer box.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Alt + R</w:t>
            </w:r>
          </w:p>
        </w:tc>
        <w:tc>
          <w:tcPr>
            <w:tcW w:type="dxa" w:w="3360"/>
          </w:tcPr>
          <w:p>
            <w:r>
              <w:t>Regenerate</w:t>
            </w:r>
          </w:p>
        </w:tc>
        <w:tc>
          <w:tcPr>
            <w:tcW w:type="dxa" w:w="3360"/>
          </w:tcPr>
          <w:p>
            <w:r>
              <w:t>Forces a fresh AI generation for the current transcript.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Alt + M</w:t>
            </w:r>
          </w:p>
        </w:tc>
        <w:tc>
          <w:tcPr>
            <w:tcW w:type="dxa" w:w="3360"/>
          </w:tcPr>
          <w:p>
            <w:r>
              <w:t>Toggle Mode</w:t>
            </w:r>
          </w:p>
        </w:tc>
        <w:tc>
          <w:tcPr>
            <w:tcW w:type="dxa" w:w="3360"/>
          </w:tcPr>
          <w:p>
            <w:r>
              <w:t>Switches output style between Script (conversational prose) and Architect (concise bullet points).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Alt + V</w:t>
            </w:r>
          </w:p>
        </w:tc>
        <w:tc>
          <w:tcPr>
            <w:tcW w:type="dxa" w:w="3360"/>
          </w:tcPr>
          <w:p>
            <w:r>
              <w:t>Toggle Candidate Mic</w:t>
            </w:r>
          </w:p>
        </w:tc>
        <w:tc>
          <w:tcPr>
            <w:tcW w:type="dxa" w:w="3360"/>
          </w:tcPr>
          <w:p>
            <w:r>
              <w:t>Turns on/off your personal microphone analysis pipeline.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Alt + A</w:t>
            </w:r>
          </w:p>
        </w:tc>
        <w:tc>
          <w:tcPr>
            <w:tcW w:type="dxa" w:w="3360"/>
          </w:tcPr>
          <w:p>
            <w:r>
              <w:t>Analyze Candidate</w:t>
            </w:r>
          </w:p>
        </w:tc>
        <w:tc>
          <w:tcPr>
            <w:tcW w:type="dxa" w:w="3360"/>
          </w:tcPr>
          <w:p>
            <w:r>
              <w:t>Triggers the Groq Grader to evaluate your spoken answer against the expected answer, showing an 8-second scorecard.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Alt + P</w:t>
            </w:r>
          </w:p>
        </w:tc>
        <w:tc>
          <w:tcPr>
            <w:tcW w:type="dxa" w:w="3360"/>
          </w:tcPr>
          <w:p>
            <w:r>
              <w:t>Panic Mode</w:t>
            </w:r>
          </w:p>
        </w:tc>
        <w:tc>
          <w:tcPr>
            <w:tcW w:type="dxa" w:w="3360"/>
          </w:tcPr>
          <w:p>
            <w:r>
              <w:t>Instantly toggles window opacity between 0% and 100% as a stealth fail-safe.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Alt + Z</w:t>
            </w:r>
          </w:p>
        </w:tc>
        <w:tc>
          <w:tcPr>
            <w:tcW w:type="dxa" w:w="3360"/>
          </w:tcPr>
          <w:p>
            <w:r>
              <w:t>Click-Through</w:t>
            </w:r>
          </w:p>
        </w:tc>
        <w:tc>
          <w:tcPr>
            <w:tcW w:type="dxa" w:w="3360"/>
          </w:tcPr>
          <w:p>
            <w:r>
              <w:t>Toggles mouse click-through behavior so clicks pass through the overlay to underlying software.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Alt + X</w:t>
            </w:r>
          </w:p>
        </w:tc>
        <w:tc>
          <w:tcPr>
            <w:tcW w:type="dxa" w:w="3360"/>
          </w:tcPr>
          <w:p>
            <w:r>
              <w:t>Toggle Size</w:t>
            </w:r>
          </w:p>
        </w:tc>
        <w:tc>
          <w:tcPr>
            <w:tcW w:type="dxa" w:w="3360"/>
          </w:tcPr>
          <w:p>
            <w:r>
              <w:t>Expands or collapses the overlay window height.</w:t>
            </w:r>
          </w:p>
        </w:tc>
      </w:tr>
    </w:tbl>
    <w:p>
      <w:pPr>
        <w:pStyle w:val="Heading1"/>
      </w:pPr>
      <w:r>
        <w:t>4. How to Run, Test, and Package the App</w:t>
      </w:r>
    </w:p>
    <w:p>
      <w:r>
        <w:rPr>
          <w:b/>
        </w:rPr>
        <w:t>Step 1 — Launch the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b/>
                <w:sz w:val="20"/>
              </w:rPr>
              <w:t>npm start</w:t>
            </w:r>
          </w:p>
        </w:tc>
      </w:tr>
    </w:tbl>
    <w:p>
      <w:r>
        <w:rPr>
          <w:b/>
        </w:rPr>
        <w:t>Step 2 — Run the Automated Test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b/>
                <w:sz w:val="20"/>
              </w:rPr>
              <w:t>npm test</w:t>
            </w:r>
          </w:p>
        </w:tc>
      </w:tr>
    </w:tbl>
    <w:p>
      <w:r>
        <w:rPr>
          <w:b/>
        </w:rPr>
        <w:t>Step 3 — Build the Standalone Windows Installer (.exe)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b/>
                <w:sz w:val="20"/>
              </w:rPr>
              <w:t>npm run build</w:t>
            </w:r>
          </w:p>
        </w:tc>
      </w:tr>
    </w:tbl>
    <w:p>
      <w:r>
        <w:t>This generates your installer inside the dist/ folder using electron-builder.</w:t>
      </w:r>
    </w:p>
    <w:p>
      <w:pPr>
        <w:pStyle w:val="Heading1"/>
      </w:pPr>
      <w:r>
        <w:t>5. Future Roadmap &amp; Unimplemented Extensions</w:t>
      </w:r>
    </w:p>
    <w:p>
      <w:r>
        <w:rPr>
          <w:b/>
        </w:rPr>
        <w:t>1. Vector Database Integration (RAG Expansion)</w:t>
      </w:r>
      <w:r>
        <w:t xml:space="preserve"> — Transitioning from static file-based Markdown and JSON stores to a lightweight local vector embedding database (such as SQLite-vss or Chroma) for semantic fuzzy searching across hundreds of complex project documents.</w:t>
      </w:r>
    </w:p>
    <w:p>
      <w:r>
        <w:rPr>
          <w:b/>
        </w:rPr>
        <w:t>2. Multi-Domain Knowledge Packs</w:t>
      </w:r>
      <w:r>
        <w:t xml:space="preserve"> — Expanding beyond Boomi into dedicated modules for Cloud DevOps (AWS/Azure/Kubernetes), Full-Stack System Architecture, and Enterprise Microservices.</w:t>
      </w:r>
    </w:p>
    <w:p>
      <w:r>
        <w:rPr>
          <w:b/>
        </w:rPr>
        <w:t>3. Advanced Candidate Metrics (Speech Analytics)</w:t>
      </w:r>
      <w:r>
        <w:t xml:space="preserve"> — Upgrading Phase 10 from simple accuracy scoring to real-time speech analysis tracking words-per-minute (WPM), filler-word frequency (“um”, “uh”), and vocal pacing.</w:t>
      </w:r>
    </w:p>
    <w:p>
      <w:r>
        <w:rPr>
          <w:b/>
        </w:rPr>
        <w:t>4. Cloud Synchronization &amp; Profile Switcher</w:t>
      </w:r>
      <w:r>
        <w:t xml:space="preserve"> — Adding a lightweight UI panel to dynamically switch candidate personas, target job descriptions, and scenario banks on the fly without restarting the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Borders>
              <w:top w:val="single" w:sz="8" w:color="AAB7C4"/>
              <w:left w:val="single" w:sz="8" w:color="AAB7C4"/>
              <w:bottom w:val="single" w:sz="8" w:color="AAB7C4"/>
              <w:right w:val="single" w:sz="8" w:color="AAB7C4"/>
            </w:tcBorders>
          </w:tcPr>
          <w:p>
            <w:r>
              <w:rPr>
                <w:b/>
                <w:sz w:val="22"/>
              </w:rPr>
              <w:t>Reference Note</w:t>
            </w:r>
          </w:p>
          <w:p>
            <w:pPr>
              <w:spacing w:after="0"/>
            </w:pPr>
            <w:r>
              <w:t>This manual was created from the complete content supplied by the user. Diagrams have been converted into Word-friendly visual flow blocks and tables so the document remains readable and editable.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BOOMI BOSS ENGINE  |  Master Reference &amp; Architecture Manual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