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Times New Roman" w:cs="Times New Roman" w:eastAsia="Times New Roman" w:hAnsi="Times New Roman"/>
          <w:b/>
          <w:bCs/>
          <w:sz w:val="30"/>
          <w:szCs w:val="30"/>
        </w:rPr>
        <w:t xml:space="preserve">Sentinel: Metadata-Only Detection of Phishing and BEC via Behavioral Twins and Self-Healing Multi-Agent Orchestration</w:t>
      </w:r>
    </w:p>
    <w:p>
      <w:pPr>
        <w:spacing w:after="20" w:before="200"/>
        <w:jc w:val="center"/>
      </w:pPr>
      <w:r>
        <w:rPr>
          <w:rFonts w:ascii="Times New Roman" w:cs="Times New Roman" w:eastAsia="Times New Roman" w:hAnsi="Times New Roman"/>
          <w:sz w:val="22"/>
          <w:szCs w:val="22"/>
        </w:rPr>
        <w:t xml:space="preserve">Saiii</w:t>
      </w:r>
    </w:p>
    <w:p>
      <w:pPr>
        <w:spacing w:after="4"/>
        <w:jc w:val="center"/>
      </w:pPr>
      <w:r>
        <w:rPr>
          <w:rFonts w:ascii="Times New Roman" w:cs="Times New Roman" w:eastAsia="Times New Roman" w:hAnsi="Times New Roman"/>
          <w:i/>
          <w:iCs/>
          <w:sz w:val="19"/>
          <w:szCs w:val="19"/>
        </w:rPr>
        <w:t xml:space="preserve">Department of Computer Science and Engineering — Data Science</w:t>
      </w:r>
    </w:p>
    <w:p>
      <w:pPr>
        <w:spacing w:after="4"/>
        <w:jc w:val="center"/>
      </w:pPr>
      <w:r>
        <w:rPr>
          <w:rFonts w:ascii="Times New Roman" w:cs="Times New Roman" w:eastAsia="Times New Roman" w:hAnsi="Times New Roman"/>
          <w:i/>
          <w:iCs/>
          <w:sz w:val="19"/>
          <w:szCs w:val="19"/>
        </w:rPr>
        <w:t xml:space="preserve">Vignan's Lara Institute of Technology and Science, Guntur, Andhra Pradesh, India</w:t>
      </w:r>
    </w:p>
    <w:p>
      <w:pPr>
        <w:spacing w:after="200"/>
        <w:jc w:val="center"/>
      </w:pPr>
      <w:r>
        <w:rPr>
          <w:rFonts w:ascii="Times New Roman" w:cs="Times New Roman" w:eastAsia="Times New Roman" w:hAnsi="Times New Roman"/>
          <w:i/>
          <w:iCs/>
          <w:sz w:val="18"/>
          <w:szCs w:val="18"/>
        </w:rPr>
        <w:t xml:space="preserve">[corresponding author e-mail to be inserted]</w:t>
      </w:r>
    </w:p>
    <w:p>
      <w:pPr>
        <w:spacing w:after="100" w:before="0" w:line="252" w:lineRule="auto"/>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b w:val="false"/>
          <w:bCs w:val="false"/>
          <w:i w:val="false"/>
          <w:iCs w:val="false"/>
          <w:sz w:val="18"/>
          <w:szCs w:val="18"/>
        </w:rPr>
        <w:t xml:space="preserve">We present Sentinel primarily as a high-throughput, privacy-preserving </w:t>
      </w:r>
      <w:r>
        <w:rPr>
          <w:rFonts w:ascii="Times New Roman" w:cs="Times New Roman" w:eastAsia="Times New Roman" w:hAnsi="Times New Roman"/>
          <w:b w:val="false"/>
          <w:bCs w:val="false"/>
          <w:i/>
          <w:iCs/>
          <w:sz w:val="18"/>
          <w:szCs w:val="18"/>
        </w:rPr>
        <w:t xml:space="preserve">operational</w:t>
      </w:r>
      <w:r>
        <w:rPr>
          <w:rFonts w:ascii="Times New Roman" w:cs="Times New Roman" w:eastAsia="Times New Roman" w:hAnsi="Times New Roman"/>
          <w:b w:val="false"/>
          <w:bCs w:val="false"/>
          <w:i w:val="false"/>
          <w:iCs w:val="false"/>
          <w:sz w:val="18"/>
          <w:szCs w:val="18"/>
        </w:rPr>
        <w:t xml:space="preserve"> architecture for email threat detection, rather than as a classifier competing on a benchmark accuracy leaderboard. Content-based phishing classifiers in the literature report strong precision, recall, and F1 figures — but on curated, balanced, single-message corpora, and only when the detector is permitted to read message content, which is difficult to reconcile with data-minimization obligations, privileged-communication protections, and end-to-end-encrypted mail. Sentinel instead operates strictly on email envelope metadata — headers, routing hops, and authentication stamps — and never accesses message content at any layer. It combines (i) a privacy-preserving behavioral "Digital Twin" that scores per-sender anomalies from hashed and coarsened metadata, (ii) a Bayesian attacker-attribution engine fusing eight independent evidentiary signals to resist VPN and proxy evasion, (iii) a four-agent orchestrator — with a deterministic rule-based fallback when no LLM key is configured — separating forensic detection, risk fusion, plain-language explanation, and adversarial red-teaming, (iv) a NetworkX-based graph correlator that surfaces coordinated campaigns invisible to single-email analysis, and (v) a self-healing policy engine that autonomously updates detection thresholds and blocklists from confirmed and adversarial evidence. In an operational evaluation on 7,446 emails from the EPVME phishing corpus, Sentinel sustained 16.1 messages/second, correctly escalated 98.7% of the corpus for review, and surfaced 4,644 coordinated attack campaigns through graph correlation — to our knowledge, a combination of throughput, content-blind operation, and cross-message campaign correlation not previously demonstrated together in a single architecture. We report this operational evaluation alongside a fully specified protocol for balanced-corpus precision/recall/false-positive-rate validation against a legitimate-mail baseline, which we have designed but not yet executed and therefore report no numbers for, and we illustrate the self-healing engine's behavior through a worked example grounded directly in its documented trigger rules rather than a timed benchmark run. We discuss the architecture in detail and the engineering work — state persistence, adaptive MIME parsing, balanced-corpus execution, and threat-intelligence export — required to reach production readiness and a complete evidentiary basis for its detection claims.</w:t>
      </w:r>
    </w:p>
    <w:p>
      <w:pPr>
        <w:spacing w:after="160" w:before="0" w:line="252" w:lineRule="auto"/>
        <w:jc w:val="both"/>
      </w:pPr>
      <w:r>
        <w:rPr>
          <w:rFonts w:ascii="Times New Roman" w:cs="Times New Roman" w:eastAsia="Times New Roman" w:hAnsi="Times New Roman"/>
          <w:b/>
          <w:bCs/>
          <w:i/>
          <w:iCs/>
          <w:sz w:val="18"/>
          <w:szCs w:val="18"/>
        </w:rPr>
        <w:t xml:space="preserve">Keywords—</w:t>
      </w:r>
      <w:r>
        <w:rPr>
          <w:rFonts w:ascii="Times New Roman" w:cs="Times New Roman" w:eastAsia="Times New Roman" w:hAnsi="Times New Roman"/>
          <w:b w:val="false"/>
          <w:bCs w:val="false"/>
          <w:i w:val="false"/>
          <w:iCs w:val="false"/>
          <w:sz w:val="18"/>
          <w:szCs w:val="18"/>
        </w:rPr>
        <w:t xml:space="preserve">email security, phishing detection, business email compromise, privacy-preserving detection, behavioral profiling, Bayesian inference, multi-agent large language models, self-healing security systems, attack-graph correlation, metadata analysis</w:t>
      </w:r>
    </w:p>
    <w:p>
      <w:pPr>
        <w:sectPr>
          <w:type w:val="continuous"/>
          <w:pgSz w:w="12240" w:h="15840" w:orient="portrait"/>
          <w:pgMar w:top="1080" w:right="1080" w:bottom="1080" w:left="1080" w:header="708" w:footer="708" w:gutter="0"/>
          <w:pgNumType/>
          <w:docGrid w:linePitch="360"/>
        </w:sectPr>
      </w:pPr>
    </w:p>
    <w:p>
      <w:pPr>
        <w:keepNext/>
        <w:spacing w:after="140" w:before="240"/>
        <w:jc w:val="center"/>
      </w:pPr>
      <w:r>
        <w:rPr>
          <w:rFonts w:ascii="Times New Roman" w:cs="Times New Roman" w:eastAsia="Times New Roman" w:hAnsi="Times New Roman"/>
          <w:b/>
          <w:bCs/>
          <w:sz w:val="21"/>
          <w:szCs w:val="21"/>
        </w:rPr>
        <w:t xml:space="preserve">I. INTRODUCTION</w:t>
      </w:r>
    </w:p>
    <w:p>
      <w:pPr>
        <w:keepNext w:val="false"/>
        <w:spacing w:after="120" w:before="0" w:line="252" w:lineRule="auto"/>
        <w:jc w:val="both"/>
      </w:pPr>
      <w:r>
        <w:rPr>
          <w:rFonts w:ascii="Times New Roman" w:cs="Times New Roman" w:eastAsia="Times New Roman" w:hAnsi="Times New Roman"/>
          <w:b w:val="false"/>
          <w:bCs w:val="false"/>
          <w:i w:val="false"/>
          <w:iCs w:val="false"/>
          <w:sz w:val="20"/>
          <w:szCs w:val="20"/>
        </w:rPr>
        <w:t xml:space="preserve">Email remains one of the most heavily exploited channels in cybercrime. In Verizon's 2024 Data Breach Investigations Report, phishing was identified as a contributing action in 15% of confirmed breaches, and social-engineering-related attacks continue to dominate the breach patterns most organizations report [1]. The financial consequences of email-borne fraud are severe and rising: the FBI's Internet Crime Complaint Center (IC3) recorded 21,489 Business Email Compromise (BEC) complaints in 2023 alone, amounting to more than $2.9 billion in reported losses — a 7% increase over the previous year [2]. Despite two decades of anti-spam and anti-phishing research, attackers continue to evade detection through four recurring strategies.</w:t>
      </w:r>
    </w:p>
    <w:p>
      <w:pPr>
        <w:keepNext w:val="false"/>
        <w:spacing w:after="120" w:before="0" w:line="252" w:lineRule="auto"/>
        <w:ind w:firstLine="240"/>
        <w:jc w:val="both"/>
      </w:pPr>
      <w:r>
        <w:rPr>
          <w:rFonts w:ascii="Times New Roman" w:cs="Times New Roman" w:eastAsia="Times New Roman" w:hAnsi="Times New Roman"/>
          <w:b w:val="false"/>
          <w:bCs w:val="false"/>
          <w:i w:val="false"/>
          <w:iCs w:val="false"/>
          <w:sz w:val="20"/>
          <w:szCs w:val="20"/>
        </w:rPr>
        <w:t xml:space="preserve">First, identity spoofing: attackers impersonate trusted domains, executives, or vendors, and simple authentication checks are routinely bypassed through cousin domains (e.g., paypa1.com) and display-name manipulation. Second, infrastructure rotation: VPNs, Tor, and residential proxies let an attacker change apparent origin between sends, defeating IP-reputation blacklists within hours. Third, slow-burn campaigns: coordinated attacks spread across weeks and thousands of rotating IPs, with each individual email staying below per-sender thresholds even though the campaign as a whole is highly aggressive. Fourth, static defenses: conventional tools require manual policy updates after each newly discovered attack pattern, while attackers probe and adapt faster than security teams can respond.</w:t>
      </w:r>
    </w:p>
    <w:p>
      <w:pPr>
        <w:keepNext w:val="false"/>
        <w:spacing w:after="120" w:before="0" w:line="252" w:lineRule="auto"/>
        <w:ind w:firstLine="240"/>
        <w:jc w:val="both"/>
      </w:pPr>
      <w:r>
        <w:rPr>
          <w:rFonts w:ascii="Times New Roman" w:cs="Times New Roman" w:eastAsia="Times New Roman" w:hAnsi="Times New Roman"/>
          <w:b w:val="false"/>
          <w:bCs w:val="false"/>
          <w:i w:val="false"/>
          <w:iCs w:val="false"/>
          <w:sz w:val="20"/>
          <w:szCs w:val="20"/>
        </w:rPr>
        <w:t xml:space="preserve">A further complication is that the dominant technical response to spoofing — SPF, DKIM, and DMARC — remains inconsistently deployed a decade after standardization. Large-scale measurement studies have repeatedly found that only a minority of domains deploy all three protocols in combination, that DMARC adoption in particular lags well behind SPF, and that even where protocols are deployed, misconfiguration and lax enforcement policies leave forged mail able to reach user inboxes [3], [4], [5], [6]. Authentication signals are therefore necessary but not sufficient evidence for a detection system to rely on alone.</w:t>
      </w:r>
    </w:p>
    <w:p>
      <w:pPr>
        <w:keepNext w:val="false"/>
        <w:spacing w:after="120" w:before="0" w:line="252" w:lineRule="auto"/>
        <w:ind w:firstLine="240"/>
        <w:jc w:val="both"/>
      </w:pPr>
      <w:r>
        <w:rPr>
          <w:rFonts w:ascii="Times New Roman" w:cs="Times New Roman" w:eastAsia="Times New Roman" w:hAnsi="Times New Roman"/>
          <w:b w:val="false"/>
          <w:bCs w:val="false"/>
          <w:i w:val="false"/>
          <w:iCs w:val="false"/>
          <w:sz w:val="20"/>
          <w:szCs w:val="20"/>
        </w:rPr>
        <w:t xml:space="preserve">Most recent machine-learning literature on this problem instead targets message content: transformer-based classifiers over email text now report accuracy figures in the high-90s on curated corpora [7], [8], [9], and ensembles of classical models (Random Forest, XGBoost, SVM) remain competitive baselines on header-plus-body feature sets. These systems are effective in the settings they are evaluated on, but they require reading — and typically storing — the body of every email that passes through them, which is difficult to reconcile with data-minimization obligations under regulations such as the GDPR, with attorney-client and other privileged-communication protections, and with deployment inside end-to-end-encrypted mail systems where the body is simply unavailable to a network-level detector.</w:t>
      </w:r>
    </w:p>
    <w:p>
      <w:pPr>
        <w:keepNext w:val="false"/>
        <w:spacing w:after="120" w:before="0" w:line="252" w:lineRule="auto"/>
        <w:ind w:firstLine="240"/>
        <w:jc w:val="both"/>
      </w:pPr>
      <w:r>
        <w:rPr>
          <w:rFonts w:ascii="Times New Roman" w:cs="Times New Roman" w:eastAsia="Times New Roman" w:hAnsi="Times New Roman"/>
          <w:b w:val="false"/>
          <w:bCs w:val="false"/>
          <w:i w:val="false"/>
          <w:iCs w:val="false"/>
          <w:sz w:val="20"/>
          <w:szCs w:val="20"/>
        </w:rPr>
        <w:t xml:space="preserve">This paper describes Sentinel, an email threat-detection system designed around a different constraint: detect phishing, spear-phishing, and BEC using only the information that is present in the email envelope — headers, the SMTP relay chain, and authentication stamps — and never touch the message body. Sentinel's contribution is not a single classifier but an architecture: six interlocking analytical phases that (1) extract a rich forensic feature set from raw headers, (2) build a privacy-preserving behavioral baseline per sender and score deviations from it, (3) fuse multiple weak geolocation signals with Bayesian updating to attribute likely attacker origin even under VPN rotation, (4) run a multi-agent pipeline that separates forensic detection, risk scoring, human-readable explanation, and adversarial self-critique into distinct roles, (5) correlate individual emails into attack graphs to expose coordinated campaigns, and (6) autonomously tighten policy in response to confirmed and adversarial findings, closing the loop without requiring a human to push a new rule set.</w:t>
      </w:r>
    </w:p>
    <w:p>
      <w:pPr>
        <w:keepNext w:val="false"/>
        <w:spacing w:after="120" w:before="0" w:line="252" w:lineRule="auto"/>
        <w:ind w:firstLine="240"/>
        <w:jc w:val="both"/>
      </w:pPr>
      <w:r>
        <w:rPr>
          <w:rFonts w:ascii="Times New Roman" w:cs="Times New Roman" w:eastAsia="Times New Roman" w:hAnsi="Times New Roman"/>
          <w:b w:val="false"/>
          <w:bCs w:val="false"/>
          <w:i w:val="false"/>
          <w:iCs w:val="false"/>
          <w:sz w:val="20"/>
          <w:szCs w:val="20"/>
        </w:rPr>
        <w:t xml:space="preserve">We evaluate an implementation of this architecture operationally on 7,446 real-world phishing and legitimate emails drawn from the EPVME (Email Phishing and Vulnerability Metadata Engine) corpus, reporting throughput, parser robustness, the distribution of risk-based actions the system produced, and the campaigns its graph correlator recovered. Because the evaluation corpus is single-class (labeled phishing) and the system's output is a graded action recommendation rather than a binary label, we deliberately do not report classification metrics such as F1 or AUC-ROC that would require a balanced, ground-truth-labeled set; instead we treat this as an operational stress test of pipeline correctness, throughput, and behavior under load, and we discuss what a controlled classification evaluation would still need to establish.</w:t>
      </w:r>
    </w:p>
    <w:p>
      <w:pPr>
        <w:keepNext w:val="false"/>
        <w:spacing w:after="120" w:before="0" w:line="252" w:lineRule="auto"/>
        <w:ind w:firstLine="240"/>
        <w:jc w:val="both"/>
      </w:pPr>
      <w:r>
        <w:rPr>
          <w:rFonts w:ascii="Times New Roman" w:cs="Times New Roman" w:eastAsia="Times New Roman" w:hAnsi="Times New Roman"/>
          <w:b w:val="false"/>
          <w:bCs w:val="false"/>
          <w:i w:val="false"/>
          <w:iCs w:val="false"/>
          <w:sz w:val="20"/>
          <w:szCs w:val="20"/>
        </w:rPr>
        <w:t xml:space="preserve">The remainder of the paper is organized as follows. Section II surveys related work in email authentication measurement, content-based phishing classification, graph-based coordinated-attack detection, and multi-agent LLM security systems. Section III presents Sentinel's architecture and each of its six phases in detail. Section IV describes the experimental setup. Section V reports and discusses the operational results, including a qualitative comparison with state-of-the-art content-based systems and the limitations the evaluation surfaced. Section VI concludes and outlines the engineering work remaining before production deployment.</w:t>
      </w:r>
    </w:p>
    <w:p>
      <w:pPr>
        <w:keepNext/>
        <w:spacing w:after="140" w:before="240"/>
        <w:jc w:val="center"/>
      </w:pPr>
      <w:r>
        <w:rPr>
          <w:rFonts w:ascii="Times New Roman" w:cs="Times New Roman" w:eastAsia="Times New Roman" w:hAnsi="Times New Roman"/>
          <w:b/>
          <w:bCs/>
          <w:sz w:val="21"/>
          <w:szCs w:val="21"/>
        </w:rPr>
        <w:t xml:space="preserve">II. RELATED WORK</w:t>
      </w:r>
    </w:p>
    <w:p>
      <w:pPr>
        <w:keepNext/>
        <w:spacing w:after="80" w:before="160"/>
      </w:pPr>
      <w:r>
        <w:rPr>
          <w:rFonts w:ascii="Times New Roman" w:cs="Times New Roman" w:eastAsia="Times New Roman" w:hAnsi="Times New Roman"/>
          <w:b/>
          <w:bCs/>
          <w:i/>
          <w:iCs/>
          <w:sz w:val="20"/>
          <w:szCs w:val="20"/>
        </w:rPr>
        <w:t xml:space="preserve">A. Email Authentication and Spoofing Measurement</w:t>
      </w:r>
    </w:p>
    <w:p>
      <w:pPr>
        <w:keepNext w:val="false"/>
        <w:spacing w:after="120" w:before="0" w:line="252" w:lineRule="auto"/>
        <w:jc w:val="both"/>
      </w:pPr>
      <w:r>
        <w:rPr>
          <w:rFonts w:ascii="Times New Roman" w:cs="Times New Roman" w:eastAsia="Times New Roman" w:hAnsi="Times New Roman"/>
          <w:b w:val="false"/>
          <w:bCs w:val="false"/>
          <w:i w:val="false"/>
          <w:iCs w:val="false"/>
          <w:sz w:val="20"/>
          <w:szCs w:val="20"/>
        </w:rPr>
        <w:t xml:space="preserve">SPF, DKIM, and DMARC form the standard defense against sender spoofing. Longitudinal Internet-wide measurement studies show that adoption, while increasing, remains partial and unevenly enforced: Hu and Wang's end-to-end study of the Alexa top one million domains found SPF present on 44.9% of domains and valid DMARC on only 5.1%, and demonstrated that forged mail could still reach inboxes at a majority of the 35 popular providers they tested despite failed authentication [4]. A companion qualitative study of email administrators found that awareness of SPF/DKIM/DMARC weaknesses, rather than ignorance, was the dominant reason organizations were slow to adopt strict enforcement policies, because misconfiguration risked silently blocking legitimate mail [3]. More recent measurement work on DMARC aggregate-report deployment confirms that adoption of all three protocols in combination is still a small minority of domains and that reporting itself can be mismanaged in ways that create new denial-of-service surfaces [5], [6]. These findings motivate Sentinel's design choice to treat SPF/DKIM/DMARC verdicts as one signal among many rather than a sufficient basis for a pass/fail decision.</w:t>
      </w:r>
    </w:p>
    <w:p>
      <w:pPr>
        <w:keepNext/>
        <w:spacing w:after="80" w:before="160"/>
      </w:pPr>
      <w:r>
        <w:rPr>
          <w:rFonts w:ascii="Times New Roman" w:cs="Times New Roman" w:eastAsia="Times New Roman" w:hAnsi="Times New Roman"/>
          <w:b/>
          <w:bCs/>
          <w:i/>
          <w:iCs/>
          <w:sz w:val="20"/>
          <w:szCs w:val="20"/>
        </w:rPr>
        <w:t xml:space="preserve">B. Content-Based Phishing and BEC Classification</w:t>
      </w:r>
    </w:p>
    <w:p>
      <w:pPr>
        <w:keepNext w:val="false"/>
        <w:spacing w:after="120" w:before="0" w:line="252" w:lineRule="auto"/>
        <w:ind w:firstLine="240"/>
        <w:jc w:val="both"/>
      </w:pPr>
      <w:r>
        <w:rPr>
          <w:rFonts w:ascii="Times New Roman" w:cs="Times New Roman" w:eastAsia="Times New Roman" w:hAnsi="Times New Roman"/>
          <w:b w:val="false"/>
          <w:bCs w:val="false"/>
          <w:i w:val="false"/>
          <w:iCs w:val="false"/>
          <w:sz w:val="20"/>
          <w:szCs w:val="20"/>
        </w:rPr>
        <w:t xml:space="preserve">The dominant strand of phishing-detection research applies NLP and classical or deep learning to message content and URLs. Recent surveys report that ensemble tree methods (Random Forest, XGBoost) on engineered header/content feature sets typically achieve 93–96% accuracy, while transformer-based approaches (BERT, DistilBERT and variants) push reported accuracy above 98% on curated phishing-email corpora [7], [8], [9], [10]. These results are encouraging but are consistently reported on datasets where the full message — including body text — is available to the classifier, and where the evaluation set is balanced or near-balanced between phishing and legitimate mail; neither condition holds for a metadata-only detector evaluated on a single-class corpus, which limits direct numerical comparison and motivates the operational, rather than classification-metric, framing of our evaluation in Section V.</w:t>
      </w:r>
    </w:p>
    <w:p>
      <w:pPr>
        <w:keepNext/>
        <w:spacing w:after="80" w:before="160"/>
      </w:pPr>
      <w:r>
        <w:rPr>
          <w:rFonts w:ascii="Times New Roman" w:cs="Times New Roman" w:eastAsia="Times New Roman" w:hAnsi="Times New Roman"/>
          <w:b/>
          <w:bCs/>
          <w:i/>
          <w:iCs/>
          <w:sz w:val="20"/>
          <w:szCs w:val="20"/>
        </w:rPr>
        <w:t xml:space="preserve">C. Graph-Based Coordinated-Attack Detection</w:t>
      </w:r>
    </w:p>
    <w:p>
      <w:pPr>
        <w:keepNext w:val="false"/>
        <w:spacing w:after="120" w:before="0" w:line="252" w:lineRule="auto"/>
        <w:ind w:firstLine="240"/>
        <w:jc w:val="both"/>
      </w:pPr>
      <w:r>
        <w:rPr>
          <w:rFonts w:ascii="Times New Roman" w:cs="Times New Roman" w:eastAsia="Times New Roman" w:hAnsi="Times New Roman"/>
          <w:b w:val="false"/>
          <w:bCs w:val="false"/>
          <w:i w:val="false"/>
          <w:iCs w:val="false"/>
          <w:sz w:val="20"/>
          <w:szCs w:val="20"/>
        </w:rPr>
        <w:t xml:space="preserve">Individual-message analysis is known to miss coordinated campaigns that stay below per-sender thresholds. Graph-based correlation addresses this by modeling shared infrastructure — IPs, domains, relay hops — as edges connecting otherwise-independent malicious events, and using connected-component and centrality analysis to recover the underlying campaign structure; BotGraph applied this idea at scale to detect stealthy web-mail spamming botnets by graphing shared login and IP-usage patterns [14], and subsequent botnet-detection work has continued to use graph clustering and centrality features to separate coordinated malicious clusters from background traffic [11]. Sentinel's Phase 5 attack-graph correlator adapts this approach to the email domain, treating emails, IPs, domains, subnets, and Message-ID-generating hosts as typed nodes in a directed graph and classifying connected components of at least three email nodes as campaigns.</w:t>
      </w:r>
    </w:p>
    <w:p>
      <w:pPr>
        <w:keepNext/>
        <w:spacing w:after="80" w:before="160"/>
      </w:pPr>
      <w:r>
        <w:rPr>
          <w:rFonts w:ascii="Times New Roman" w:cs="Times New Roman" w:eastAsia="Times New Roman" w:hAnsi="Times New Roman"/>
          <w:b/>
          <w:bCs/>
          <w:i/>
          <w:iCs/>
          <w:sz w:val="20"/>
          <w:szCs w:val="20"/>
        </w:rPr>
        <w:t xml:space="preserve">D. Digital Twins for Behavioral Anomaly Detection</w:t>
      </w:r>
    </w:p>
    <w:p>
      <w:pPr>
        <w:keepNext w:val="false"/>
        <w:spacing w:after="120" w:before="0" w:line="252" w:lineRule="auto"/>
        <w:ind w:firstLine="240"/>
        <w:jc w:val="both"/>
      </w:pPr>
      <w:r>
        <w:rPr>
          <w:rFonts w:ascii="Times New Roman" w:cs="Times New Roman" w:eastAsia="Times New Roman" w:hAnsi="Times New Roman"/>
          <w:b w:val="false"/>
          <w:bCs w:val="false"/>
          <w:i w:val="false"/>
          <w:iCs w:val="false"/>
          <w:sz w:val="20"/>
          <w:szCs w:val="20"/>
        </w:rPr>
        <w:t xml:space="preserve">Digital-twin-based intrusion detection builds a synchronized behavioral model of a monitored entity and flags deviation from it; the approach has been used for knowledge-based intrusion detection in cyber-physical systems [13] and, more recently, combined with constrained LLM reasoning for interpretable anomaly explanation in industrial control settings [12]. Sentinel's Phase 2 Digital Twin applies the same anomaly-from-baseline principle to a sender identity rather than a physical process, and is deliberately restricted to hashed, coarsened, or aggregate-statistic representations of behavior — no raw address, full IP, or plaintext identifier is retained — so that the privacy properties motivating the metadata-only design in Section I extend to the profiling layer itself.</w:t>
      </w:r>
    </w:p>
    <w:p>
      <w:pPr>
        <w:keepNext/>
        <w:spacing w:after="80" w:before="160"/>
      </w:pPr>
      <w:r>
        <w:rPr>
          <w:rFonts w:ascii="Times New Roman" w:cs="Times New Roman" w:eastAsia="Times New Roman" w:hAnsi="Times New Roman"/>
          <w:b/>
          <w:bCs/>
          <w:i/>
          <w:iCs/>
          <w:sz w:val="20"/>
          <w:szCs w:val="20"/>
        </w:rPr>
        <w:t xml:space="preserve">E. Multi-Agent LLM Systems in Security Operations</w:t>
      </w:r>
    </w:p>
    <w:p>
      <w:pPr>
        <w:keepNext w:val="false"/>
        <w:spacing w:after="120" w:before="0" w:line="252" w:lineRule="auto"/>
        <w:ind w:firstLine="240"/>
        <w:jc w:val="both"/>
      </w:pPr>
      <w:r>
        <w:rPr>
          <w:rFonts w:ascii="Times New Roman" w:cs="Times New Roman" w:eastAsia="Times New Roman" w:hAnsi="Times New Roman"/>
          <w:b w:val="false"/>
          <w:bCs w:val="false"/>
          <w:i w:val="false"/>
          <w:iCs w:val="false"/>
          <w:sz w:val="20"/>
          <w:szCs w:val="20"/>
        </w:rPr>
        <w:t xml:space="preserve">Decomposing a security-analysis task across multiple role-specialized LLM agents — rather than a single monolithic prompt — has recently been explored for vulnerability triage, incident response, and insider-threat detection, with reported benefits in interpretability and in catching threats that a single-pass classifier misses [15], [16], [17]. A three-agent architecture combining email verification, log analysis, and IP scanning has specifically been proposed for cross-domain threat correlation [15]. Sentinel's Phase 4 orchestrator follows this pattern with four narrowly scoped agents — forensic detection, risk fusion, explanation, and adversarial red-teaming — and, distinct from prior work, is designed to degrade gracefully to a deterministic rule engine that reproduces the same output schema when no LLM API key is configured, so that the pipeline remains fully operable without an external model dependency.</w:t>
      </w:r>
    </w:p>
    <w:p>
      <w:pPr>
        <w:keepNext/>
        <w:spacing w:after="80" w:before="160"/>
      </w:pPr>
      <w:r>
        <w:rPr>
          <w:rFonts w:ascii="Times New Roman" w:cs="Times New Roman" w:eastAsia="Times New Roman" w:hAnsi="Times New Roman"/>
          <w:b/>
          <w:bCs/>
          <w:i/>
          <w:iCs/>
          <w:sz w:val="20"/>
          <w:szCs w:val="20"/>
        </w:rPr>
        <w:t xml:space="preserve">F. Research Gap</w:t>
      </w:r>
    </w:p>
    <w:p>
      <w:pPr>
        <w:keepNext w:val="false"/>
        <w:spacing w:after="120" w:before="0" w:line="252" w:lineRule="auto"/>
        <w:ind w:firstLine="240"/>
        <w:jc w:val="both"/>
      </w:pPr>
      <w:r>
        <w:rPr>
          <w:rFonts w:ascii="Times New Roman" w:cs="Times New Roman" w:eastAsia="Times New Roman" w:hAnsi="Times New Roman"/>
          <w:b w:val="false"/>
          <w:bCs w:val="false"/>
          <w:i w:val="false"/>
          <w:iCs w:val="false"/>
          <w:sz w:val="20"/>
          <w:szCs w:val="20"/>
        </w:rPr>
        <w:t xml:space="preserve">Taken together, the literature offers strong content-based classifiers, mature authentication-measurement methodology, graph techniques for campaign correlation, digital-twin anomaly detection, and early multi-agent LLM security architectures — but largely as separate lines of work, and predominantly under the assumption that the detector may read message content. Sentinel's contribution is to combine behavioral profiling, Bayesian attribution, multi-agent detection, graph correlation, and autonomous policy adaptation into a single pipeline that operates under the strictly narrower assumption of metadata-only access, and to report an operational evaluation of that pipeline under real-world load.</w:t>
      </w:r>
    </w:p>
    <w:p>
      <w:pPr>
        <w:keepNext/>
        <w:spacing w:after="140" w:before="240"/>
        <w:jc w:val="center"/>
      </w:pPr>
      <w:r>
        <w:rPr>
          <w:rFonts w:ascii="Times New Roman" w:cs="Times New Roman" w:eastAsia="Times New Roman" w:hAnsi="Times New Roman"/>
          <w:b/>
          <w:bCs/>
          <w:sz w:val="21"/>
          <w:szCs w:val="21"/>
        </w:rPr>
        <w:t xml:space="preserve">III. PROPOSED SYSTEM: ARCHITECTURE AND METHODOLOGY</w:t>
      </w:r>
    </w:p>
    <w:p>
      <w:pPr>
        <w:keepNext/>
        <w:spacing w:after="80" w:before="160"/>
      </w:pPr>
      <w:r>
        <w:rPr>
          <w:rFonts w:ascii="Times New Roman" w:cs="Times New Roman" w:eastAsia="Times New Roman" w:hAnsi="Times New Roman"/>
          <w:b/>
          <w:bCs/>
          <w:i/>
          <w:iCs/>
          <w:sz w:val="20"/>
          <w:szCs w:val="20"/>
        </w:rPr>
        <w:t xml:space="preserve">A. Design Principle: Metadata-Only Analysis</w:t>
      </w:r>
    </w:p>
    <w:p>
      <w:pPr>
        <w:keepNext w:val="false"/>
        <w:spacing w:after="120" w:before="0" w:line="252" w:lineRule="auto"/>
        <w:jc w:val="both"/>
      </w:pPr>
      <w:r>
        <w:rPr>
          <w:rFonts w:ascii="Times New Roman" w:cs="Times New Roman" w:eastAsia="Times New Roman" w:hAnsi="Times New Roman"/>
          <w:b w:val="false"/>
          <w:bCs w:val="false"/>
          <w:i w:val="false"/>
          <w:iCs w:val="false"/>
          <w:sz w:val="20"/>
          <w:szCs w:val="20"/>
        </w:rPr>
        <w:t xml:space="preserve">Sentinel's governing constraint is that no layer of the system reads, parses, or stores the body, text/plain part, or text/html part of an email; only MIME-structure metadata such as attachment count, charset, and content-type is captured. This is enforced at the earliest stage of the pipeline (Phase 1) rather than by policy alone, so that no downstream component ever has access to content even if a later stage were compromised or misconfigured. The design is motivated by three properties: GDPR-relevant data minimization, since no personal message content is processed; compatibility with attorney-client and other privileged communication, since content is never read; and deployability inside end-to-end-encrypted mail flows, since headers and routing metadata are visible to a mail transfer agent even when the body is not.</w:t>
      </w:r>
    </w:p>
    <w:p>
      <w:pPr>
        <w:keepNext w:val="false"/>
        <w:spacing w:after="120" w:before="0" w:line="252" w:lineRule="auto"/>
        <w:ind w:firstLine="240"/>
        <w:jc w:val="both"/>
      </w:pPr>
      <w:r>
        <w:rPr>
          <w:rFonts w:ascii="Times New Roman" w:cs="Times New Roman" w:eastAsia="Times New Roman" w:hAnsi="Times New Roman"/>
          <w:b w:val="false"/>
          <w:bCs w:val="false"/>
          <w:i w:val="false"/>
          <w:iCs w:val="false"/>
          <w:sz w:val="20"/>
          <w:szCs w:val="20"/>
        </w:rPr>
        <w:t xml:space="preserve">The envelope of an email nonetheless carries substantial forensic signal that an attacker cannot forge without breaking delivery entirely. The Received relay chain cannot be fabricated without controlling every intermediate mail transfer agent; SPF, DKIM, and DMARC verdicts are computed independently by the receiving server and are DNS- or cryptographically verifiable; Date-header and per-hop timestamps leak timezone and behavioral information; and client-exposed headers such as X-Originating-IP frequently leak a webmail sender's real address even when a VPN is used for the delivery path itself.</w:t>
      </w:r>
    </w:p>
    <w:p>
      <w:pPr>
        <w:keepNext/>
        <w:spacing w:after="80" w:before="160"/>
      </w:pPr>
      <w:r>
        <w:rPr>
          <w:rFonts w:ascii="Times New Roman" w:cs="Times New Roman" w:eastAsia="Times New Roman" w:hAnsi="Times New Roman"/>
          <w:b/>
          <w:bCs/>
          <w:i/>
          <w:iCs/>
          <w:sz w:val="20"/>
          <w:szCs w:val="20"/>
        </w:rPr>
        <w:t xml:space="preserve">B. System Overview</w:t>
      </w:r>
    </w:p>
    <w:p>
      <w:pPr>
        <w:keepNext w:val="false"/>
        <w:spacing w:after="120" w:before="0" w:line="252" w:lineRule="auto"/>
        <w:jc w:val="both"/>
      </w:pPr>
      <w:r>
        <w:rPr>
          <w:rFonts w:ascii="Times New Roman" w:cs="Times New Roman" w:eastAsia="Times New Roman" w:hAnsi="Times New Roman"/>
          <w:b w:val="false"/>
          <w:bCs w:val="false"/>
          <w:i w:val="false"/>
          <w:iCs w:val="false"/>
          <w:sz w:val="20"/>
          <w:szCs w:val="20"/>
        </w:rPr>
        <w:t xml:space="preserve">Sentinel processes each submitted .eml file through six sequential and partially parallel phases, illustrated in Fig. 1. Phase 1 (Email Parser) is the single entry point and extracts over thirty metadata fields. Its output fans out to Phase 2 (Digital Twin behavioral scoring) and Phase 3 (Bayesian attribution) in parallel; both feed Phase 4 (multi-agent risk orchestration), whose output feeds Phase 5 (attack-graph correlation) and Phase 6 (self-healing policy update) in parallel. The final decision — an action recommendation, a risk score, an attribution estimate, and a plain-language explanation — is broadcast over a WebSocket channel to a real-time dashboard.</w:t>
      </w:r>
    </w:p>
    <w:p>
      <w:pPr>
        <w:pBdr>
          <w:top w:val="single" w:color="999999" w:sz="4"/>
          <w:bottom w:val="single" w:color="999999" w:sz="4"/>
          <w:left w:val="single" w:color="999999" w:sz="4"/>
          <w:right w:val="single" w:color="999999" w:sz="4"/>
        </w:pBdr>
        <w:shd w:fill="F2F2F2" w:val="clear"/>
        <w:spacing w:after="140" w:before="60"/>
      </w:pPr>
      <w:r>
        <w:rPr>
          <w:rFonts w:ascii="Courier New" w:cs="Courier New" w:eastAsia="Courier New" w:hAnsi="Courier New"/>
          <w:sz w:val="14"/>
          <w:szCs w:val="14"/>
        </w:rPr>
        <w:t xml:space="preserve">  EML File / API Upload</w:t>
      </w:r>
      <w:r>
        <w:rPr>
          <w:rFonts w:ascii="Courier New" w:cs="Courier New" w:eastAsia="Courier New" w:hAnsi="Courier New"/>
          <w:sz w:val="14"/>
          <w:szCs w:val="14"/>
        </w:rPr>
        <w:br/>
        <w:t xml:space="preserve">          |</w:t>
      </w:r>
      <w:r>
        <w:rPr>
          <w:rFonts w:ascii="Courier New" w:cs="Courier New" w:eastAsia="Courier New" w:hAnsi="Courier New"/>
          <w:sz w:val="14"/>
          <w:szCs w:val="14"/>
        </w:rPr>
        <w:br/>
        <w:t xml:space="preserve">          v</w:t>
      </w:r>
      <w:r>
        <w:rPr>
          <w:rFonts w:ascii="Courier New" w:cs="Courier New" w:eastAsia="Courier New" w:hAnsi="Courier New"/>
          <w:sz w:val="14"/>
          <w:szCs w:val="14"/>
        </w:rPr>
        <w:br/>
        <w:t xml:space="preserve"> +---------------------------------+</w:t>
      </w:r>
      <w:r>
        <w:rPr>
          <w:rFonts w:ascii="Courier New" w:cs="Courier New" w:eastAsia="Courier New" w:hAnsi="Courier New"/>
          <w:sz w:val="14"/>
          <w:szCs w:val="14"/>
        </w:rPr>
        <w:br/>
        <w:t xml:space="preserve"> | PHASE 1 - Email Parser           |</w:t>
      </w:r>
      <w:r>
        <w:rPr>
          <w:rFonts w:ascii="Courier New" w:cs="Courier New" w:eastAsia="Courier New" w:hAnsi="Courier New"/>
          <w:sz w:val="14"/>
          <w:szCs w:val="14"/>
        </w:rPr>
        <w:br/>
        <w:t xml:space="preserve"> | 30+ forensic metadata fields     |</w:t>
      </w:r>
      <w:r>
        <w:rPr>
          <w:rFonts w:ascii="Courier New" w:cs="Courier New" w:eastAsia="Courier New" w:hAnsi="Courier New"/>
          <w:sz w:val="14"/>
          <w:szCs w:val="14"/>
        </w:rPr>
        <w:br/>
        <w:t xml:space="preserve"> +----------------+------------------+</w:t>
      </w:r>
      <w:r>
        <w:rPr>
          <w:rFonts w:ascii="Courier New" w:cs="Courier New" w:eastAsia="Courier New" w:hAnsi="Courier New"/>
          <w:sz w:val="14"/>
          <w:szCs w:val="14"/>
        </w:rPr>
        <w:br/>
        <w:t xml:space="preserve">                  |</w:t>
      </w:r>
      <w:r>
        <w:rPr>
          <w:rFonts w:ascii="Courier New" w:cs="Courier New" w:eastAsia="Courier New" w:hAnsi="Courier New"/>
          <w:sz w:val="14"/>
          <w:szCs w:val="14"/>
        </w:rPr>
        <w:br/>
        <w:t xml:space="preserve">     +------------+-------------+</w:t>
      </w:r>
      <w:r>
        <w:rPr>
          <w:rFonts w:ascii="Courier New" w:cs="Courier New" w:eastAsia="Courier New" w:hAnsi="Courier New"/>
          <w:sz w:val="14"/>
          <w:szCs w:val="14"/>
        </w:rPr>
        <w:br/>
        <w:t xml:space="preserve">     v                          v</w:t>
      </w:r>
      <w:r>
        <w:rPr>
          <w:rFonts w:ascii="Courier New" w:cs="Courier New" w:eastAsia="Courier New" w:hAnsi="Courier New"/>
          <w:sz w:val="14"/>
          <w:szCs w:val="14"/>
        </w:rPr>
        <w:br/>
        <w:t xml:space="preserve"> +----------+            +--------------+</w:t>
      </w:r>
      <w:r>
        <w:rPr>
          <w:rFonts w:ascii="Courier New" w:cs="Courier New" w:eastAsia="Courier New" w:hAnsi="Courier New"/>
          <w:sz w:val="14"/>
          <w:szCs w:val="14"/>
        </w:rPr>
        <w:br/>
        <w:t xml:space="preserve"> | PHASE 2  |            | PHASE 3      |</w:t>
      </w:r>
      <w:r>
        <w:rPr>
          <w:rFonts w:ascii="Courier New" w:cs="Courier New" w:eastAsia="Courier New" w:hAnsi="Courier New"/>
          <w:sz w:val="14"/>
          <w:szCs w:val="14"/>
        </w:rPr>
        <w:br/>
        <w:t xml:space="preserve"> | Digital  |            | Bayesian     |</w:t>
      </w:r>
      <w:r>
        <w:rPr>
          <w:rFonts w:ascii="Courier New" w:cs="Courier New" w:eastAsia="Courier New" w:hAnsi="Courier New"/>
          <w:sz w:val="14"/>
          <w:szCs w:val="14"/>
        </w:rPr>
        <w:br/>
        <w:t xml:space="preserve"> | Twin     |            | Attribution  |</w:t>
      </w:r>
      <w:r>
        <w:rPr>
          <w:rFonts w:ascii="Courier New" w:cs="Courier New" w:eastAsia="Courier New" w:hAnsi="Courier New"/>
          <w:sz w:val="14"/>
          <w:szCs w:val="14"/>
        </w:rPr>
        <w:br/>
        <w:t xml:space="preserve"> | (anomaly |            | (geo signal  |</w:t>
      </w:r>
      <w:r>
        <w:rPr>
          <w:rFonts w:ascii="Courier New" w:cs="Courier New" w:eastAsia="Courier New" w:hAnsi="Courier New"/>
          <w:sz w:val="14"/>
          <w:szCs w:val="14"/>
        </w:rPr>
        <w:br/>
        <w:t xml:space="preserve"> |  score)  |            |  fusion)     |</w:t>
      </w:r>
      <w:r>
        <w:rPr>
          <w:rFonts w:ascii="Courier New" w:cs="Courier New" w:eastAsia="Courier New" w:hAnsi="Courier New"/>
          <w:sz w:val="14"/>
          <w:szCs w:val="14"/>
        </w:rPr>
        <w:br/>
        <w:t xml:space="preserve"> +----+-----+            +------+-------+</w:t>
      </w:r>
      <w:r>
        <w:rPr>
          <w:rFonts w:ascii="Courier New" w:cs="Courier New" w:eastAsia="Courier New" w:hAnsi="Courier New"/>
          <w:sz w:val="14"/>
          <w:szCs w:val="14"/>
        </w:rPr>
        <w:br/>
        <w:t xml:space="preserve">      |                        |</w:t>
      </w:r>
      <w:r>
        <w:rPr>
          <w:rFonts w:ascii="Courier New" w:cs="Courier New" w:eastAsia="Courier New" w:hAnsi="Courier New"/>
          <w:sz w:val="14"/>
          <w:szCs w:val="14"/>
        </w:rPr>
        <w:br/>
        <w:t xml:space="preserve">      +-----------+------------+</w:t>
      </w:r>
      <w:r>
        <w:rPr>
          <w:rFonts w:ascii="Courier New" w:cs="Courier New" w:eastAsia="Courier New" w:hAnsi="Courier New"/>
          <w:sz w:val="14"/>
          <w:szCs w:val="14"/>
        </w:rPr>
        <w:br/>
        <w:t xml:space="preserve">                  v</w:t>
      </w:r>
      <w:r>
        <w:rPr>
          <w:rFonts w:ascii="Courier New" w:cs="Courier New" w:eastAsia="Courier New" w:hAnsi="Courier New"/>
          <w:sz w:val="14"/>
          <w:szCs w:val="14"/>
        </w:rPr>
        <w:br/>
        <w:t xml:space="preserve">        +--------------------+</w:t>
      </w:r>
      <w:r>
        <w:rPr>
          <w:rFonts w:ascii="Courier New" w:cs="Courier New" w:eastAsia="Courier New" w:hAnsi="Courier New"/>
          <w:sz w:val="14"/>
          <w:szCs w:val="14"/>
        </w:rPr>
        <w:br/>
        <w:t xml:space="preserve">        | PHASE 4            |</w:t>
      </w:r>
      <w:r>
        <w:rPr>
          <w:rFonts w:ascii="Courier New" w:cs="Courier New" w:eastAsia="Courier New" w:hAnsi="Courier New"/>
          <w:sz w:val="14"/>
          <w:szCs w:val="14"/>
        </w:rPr>
        <w:br/>
        <w:t xml:space="preserve">        | Multi-Agent         |</w:t>
      </w:r>
      <w:r>
        <w:rPr>
          <w:rFonts w:ascii="Courier New" w:cs="Courier New" w:eastAsia="Courier New" w:hAnsi="Courier New"/>
          <w:sz w:val="14"/>
          <w:szCs w:val="14"/>
        </w:rPr>
        <w:br/>
        <w:t xml:space="preserve">        | Orchestrator        |</w:t>
      </w:r>
      <w:r>
        <w:rPr>
          <w:rFonts w:ascii="Courier New" w:cs="Courier New" w:eastAsia="Courier New" w:hAnsi="Courier New"/>
          <w:sz w:val="14"/>
          <w:szCs w:val="14"/>
        </w:rPr>
        <w:br/>
        <w:t xml:space="preserve">        | (4 agents; LLM or   |</w:t>
      </w:r>
      <w:r>
        <w:rPr>
          <w:rFonts w:ascii="Courier New" w:cs="Courier New" w:eastAsia="Courier New" w:hAnsi="Courier New"/>
          <w:sz w:val="14"/>
          <w:szCs w:val="14"/>
        </w:rPr>
        <w:br/>
        <w:t xml:space="preserve">        |  rule-based)        |</w:t>
      </w:r>
      <w:r>
        <w:rPr>
          <w:rFonts w:ascii="Courier New" w:cs="Courier New" w:eastAsia="Courier New" w:hAnsi="Courier New"/>
          <w:sz w:val="14"/>
          <w:szCs w:val="14"/>
        </w:rPr>
        <w:br/>
        <w:t xml:space="preserve">        +----------+---------+</w:t>
      </w:r>
      <w:r>
        <w:rPr>
          <w:rFonts w:ascii="Courier New" w:cs="Courier New" w:eastAsia="Courier New" w:hAnsi="Courier New"/>
          <w:sz w:val="14"/>
          <w:szCs w:val="14"/>
        </w:rPr>
        <w:br/>
        <w:t xml:space="preserve">                   |</w:t>
      </w:r>
      <w:r>
        <w:rPr>
          <w:rFonts w:ascii="Courier New" w:cs="Courier New" w:eastAsia="Courier New" w:hAnsi="Courier New"/>
          <w:sz w:val="14"/>
          <w:szCs w:val="14"/>
        </w:rPr>
        <w:br/>
        <w:t xml:space="preserve">        +----------+----------+</w:t>
      </w:r>
      <w:r>
        <w:rPr>
          <w:rFonts w:ascii="Courier New" w:cs="Courier New" w:eastAsia="Courier New" w:hAnsi="Courier New"/>
          <w:sz w:val="14"/>
          <w:szCs w:val="14"/>
        </w:rPr>
        <w:br/>
        <w:t xml:space="preserve">        v                     v</w:t>
      </w:r>
      <w:r>
        <w:rPr>
          <w:rFonts w:ascii="Courier New" w:cs="Courier New" w:eastAsia="Courier New" w:hAnsi="Courier New"/>
          <w:sz w:val="14"/>
          <w:szCs w:val="14"/>
        </w:rPr>
        <w:br/>
        <w:t xml:space="preserve"> +--------------+     +------------------+</w:t>
      </w:r>
      <w:r>
        <w:rPr>
          <w:rFonts w:ascii="Courier New" w:cs="Courier New" w:eastAsia="Courier New" w:hAnsi="Courier New"/>
          <w:sz w:val="14"/>
          <w:szCs w:val="14"/>
        </w:rPr>
        <w:br/>
        <w:t xml:space="preserve"> | PHASE 5      |     | PHASE 6          |</w:t>
      </w:r>
      <w:r>
        <w:rPr>
          <w:rFonts w:ascii="Courier New" w:cs="Courier New" w:eastAsia="Courier New" w:hAnsi="Courier New"/>
          <w:sz w:val="14"/>
          <w:szCs w:val="14"/>
        </w:rPr>
        <w:br/>
        <w:t xml:space="preserve"> | Attack Graph |     | Self-Healing      |</w:t>
      </w:r>
      <w:r>
        <w:rPr>
          <w:rFonts w:ascii="Courier New" w:cs="Courier New" w:eastAsia="Courier New" w:hAnsi="Courier New"/>
          <w:sz w:val="14"/>
          <w:szCs w:val="14"/>
        </w:rPr>
        <w:br/>
        <w:t xml:space="preserve"> | (NetworkX)   |     | Engine            |</w:t>
      </w:r>
      <w:r>
        <w:rPr>
          <w:rFonts w:ascii="Courier New" w:cs="Courier New" w:eastAsia="Courier New" w:hAnsi="Courier New"/>
          <w:sz w:val="14"/>
          <w:szCs w:val="14"/>
        </w:rPr>
        <w:br/>
        <w:t xml:space="preserve"> +------+-------+     +--------+---------+</w:t>
      </w:r>
      <w:r>
        <w:rPr>
          <w:rFonts w:ascii="Courier New" w:cs="Courier New" w:eastAsia="Courier New" w:hAnsi="Courier New"/>
          <w:sz w:val="14"/>
          <w:szCs w:val="14"/>
        </w:rPr>
        <w:br/>
        <w:t xml:space="preserve">        |                      |</w:t>
      </w:r>
      <w:r>
        <w:rPr>
          <w:rFonts w:ascii="Courier New" w:cs="Courier New" w:eastAsia="Courier New" w:hAnsi="Courier New"/>
          <w:sz w:val="14"/>
          <w:szCs w:val="14"/>
        </w:rPr>
        <w:br/>
        <w:t xml:space="preserve">        +----------+-----------+</w:t>
      </w:r>
      <w:r>
        <w:rPr>
          <w:rFonts w:ascii="Courier New" w:cs="Courier New" w:eastAsia="Courier New" w:hAnsi="Courier New"/>
          <w:sz w:val="14"/>
          <w:szCs w:val="14"/>
        </w:rPr>
        <w:br/>
        <w:t xml:space="preserve">                   v</w:t>
      </w:r>
      <w:r>
        <w:rPr>
          <w:rFonts w:ascii="Courier New" w:cs="Courier New" w:eastAsia="Courier New" w:hAnsi="Courier New"/>
          <w:sz w:val="14"/>
          <w:szCs w:val="14"/>
        </w:rPr>
        <w:br/>
        <w:t xml:space="preserve">   Final Decision + WebSocket Broadcast</w:t>
      </w:r>
      <w:r>
        <w:rPr>
          <w:rFonts w:ascii="Courier New" w:cs="Courier New" w:eastAsia="Courier New" w:hAnsi="Courier New"/>
          <w:sz w:val="14"/>
          <w:szCs w:val="14"/>
        </w:rPr>
        <w:br/>
        <w:t xml:space="preserve">        -&gt; Real-time Dashboard</w:t>
      </w:r>
    </w:p>
    <w:p>
      <w:pPr>
        <w:spacing w:after="160" w:before="40"/>
        <w:jc w:val="center"/>
      </w:pPr>
      <w:r>
        <w:rPr>
          <w:rFonts w:ascii="Times New Roman" w:cs="Times New Roman" w:eastAsia="Times New Roman" w:hAnsi="Times New Roman"/>
          <w:i w:val="false"/>
          <w:iCs w:val="false"/>
          <w:sz w:val="16"/>
          <w:szCs w:val="16"/>
        </w:rPr>
        <w:t xml:space="preserve">Fig. 1.  Sentinel six-phase pipeline. Phases 2/3 run in parallel on Phase-1 output; Phases 5/6 run in parallel on Phase-4 output.</w:t>
      </w:r>
    </w:p>
    <w:p>
      <w:pPr>
        <w:keepNext/>
        <w:spacing w:after="80" w:before="160"/>
      </w:pPr>
      <w:r>
        <w:rPr>
          <w:rFonts w:ascii="Times New Roman" w:cs="Times New Roman" w:eastAsia="Times New Roman" w:hAnsi="Times New Roman"/>
          <w:b/>
          <w:bCs/>
          <w:i/>
          <w:iCs/>
          <w:sz w:val="20"/>
          <w:szCs w:val="20"/>
        </w:rPr>
        <w:t xml:space="preserve">C. Phase 1 — Email Parser</w:t>
      </w:r>
    </w:p>
    <w:p>
      <w:pPr>
        <w:keepNext w:val="false"/>
        <w:spacing w:after="120" w:before="0" w:line="252" w:lineRule="auto"/>
        <w:jc w:val="both"/>
      </w:pPr>
      <w:r>
        <w:rPr>
          <w:rFonts w:ascii="Times New Roman" w:cs="Times New Roman" w:eastAsia="Times New Roman" w:hAnsi="Times New Roman"/>
          <w:b w:val="false"/>
          <w:bCs w:val="false"/>
          <w:i w:val="false"/>
          <w:iCs w:val="false"/>
          <w:sz w:val="20"/>
          <w:szCs w:val="20"/>
        </w:rPr>
        <w:t xml:space="preserve">The parser accepts raw RFC 5322 bytes and uses a standards-compliant MIME parser to walk the header block, explicitly skipping the body and all text/plain and text/html MIME parts. Extracted fields fall into seven categories: routing (the full Received chain, per-hop relay IP addresses and timestamps, hop count), identity (From, To, CC, BCC, Reply-To, and Return-Path, with mismatch flags between them), message identifiers (Message-ID domain, In-Reply-To, References chain), authentication (SPF, DKIM, and DMARC verdicts and ARC-chain integrity, parsed from the composite Authentication-Results header used by major mail providers), IP intelligence (X-Originating-IP, X-Sender-IP, X-Forwarded-For, handling both IPv4 and IPv6 including NAT-masked addresses), encoding (charset, Content-Type, MIME version, Content-Language), and client fingerprint (X-Mailer / User-Agent and version). This phase is the single point at which malformed or non-standard messages can fail — Section V quantifies this failure rate on the evaluation corpus.</w:t>
      </w:r>
    </w:p>
    <w:p>
      <w:pPr>
        <w:keepNext/>
        <w:spacing w:after="80" w:before="160"/>
      </w:pPr>
      <w:r>
        <w:rPr>
          <w:rFonts w:ascii="Times New Roman" w:cs="Times New Roman" w:eastAsia="Times New Roman" w:hAnsi="Times New Roman"/>
          <w:b/>
          <w:bCs/>
          <w:i/>
          <w:iCs/>
          <w:sz w:val="20"/>
          <w:szCs w:val="20"/>
        </w:rPr>
        <w:t xml:space="preserve">D. Phase 2 — Digital Twin Behavioral Profiling</w:t>
      </w:r>
    </w:p>
    <w:p>
      <w:pPr>
        <w:keepNext w:val="false"/>
        <w:spacing w:after="120" w:before="0" w:line="252" w:lineRule="auto"/>
        <w:jc w:val="both"/>
      </w:pPr>
      <w:r>
        <w:rPr>
          <w:rFonts w:ascii="Times New Roman" w:cs="Times New Roman" w:eastAsia="Times New Roman" w:hAnsi="Times New Roman"/>
          <w:b w:val="false"/>
          <w:bCs w:val="false"/>
          <w:i w:val="false"/>
          <w:iCs w:val="false"/>
          <w:sz w:val="20"/>
          <w:szCs w:val="20"/>
        </w:rPr>
        <w:t xml:space="preserve">A Digital Twin is a persistent, privacy-preserving behavioral model of a legitimate sender identity, built incrementally from observed traffic. Seven dimensions are profiled, each stored in a form that discards raw identifiers: sending hour (a 24-slot UTC histogram), sending weekday (a 7-slot histogram), IP prefix (hashed and coarsened to a /24 subnet, never a full address), send frequency (a rolling 7-day count), sender domain (a frequency histogram), charset history (the set of observed encodings), and subject length (a mean/standard-deviation distribution). Contact-network information is stored only as SHA-256 hashes of recipient addresses. No raw email address, full IP address, or plaintext identifier is ever persisted in the twin.</w:t>
      </w:r>
    </w:p>
    <w:p>
      <w:pPr>
        <w:keepNext w:val="false"/>
        <w:spacing w:after="120" w:before="0" w:line="252" w:lineRule="auto"/>
        <w:ind w:firstLine="240"/>
        <w:jc w:val="both"/>
      </w:pPr>
      <w:r>
        <w:rPr>
          <w:rFonts w:ascii="Times New Roman" w:cs="Times New Roman" w:eastAsia="Times New Roman" w:hAnsi="Times New Roman"/>
          <w:b w:val="false"/>
          <w:bCs w:val="false"/>
          <w:i w:val="false"/>
          <w:iCs w:val="false"/>
          <w:sz w:val="20"/>
          <w:szCs w:val="20"/>
        </w:rPr>
        <w:t xml:space="preserve">Each incoming email is scored against its sender's twin on seven corresponding sub-scores — hour, day, IP-prefix, frequency, domain, charset, and subject-length anomaly — each normalized to [0, 1]; the IP and frequency sub-scores use Bayesian smoothing and rolling z-score normalization respectively to reduce cold-start false positives for senders with limited history. The sub-scores are fused by a fixed weighted sum:</w:t>
      </w:r>
    </w:p>
    <w:p>
      <w:pPr>
        <w:keepNext w:val="false"/>
        <w:spacing w:after="100" w:before="0" w:line="252" w:lineRule="auto"/>
        <w:jc w:val="center"/>
      </w:pPr>
      <w:r>
        <w:rPr>
          <w:rFonts w:ascii="Times New Roman" w:cs="Times New Roman" w:eastAsia="Times New Roman" w:hAnsi="Times New Roman"/>
          <w:b w:val="false"/>
          <w:bCs w:val="false"/>
          <w:i/>
          <w:iCs/>
          <w:sz w:val="20"/>
          <w:szCs w:val="20"/>
        </w:rPr>
        <w:t xml:space="preserve">anomaly = 0.20·hour + 0.15·day + 0.25·IP + 0.15·freq + 0.10·domain + 0.10·charset + 0.05·subject</w:t>
      </w:r>
    </w:p>
    <w:p>
      <w:pPr>
        <w:keepNext w:val="false"/>
        <w:spacing w:after="120" w:before="0" w:line="252" w:lineRule="auto"/>
        <w:ind w:firstLine="240"/>
        <w:jc w:val="both"/>
      </w:pPr>
      <w:r>
        <w:rPr>
          <w:rFonts w:ascii="Times New Roman" w:cs="Times New Roman" w:eastAsia="Times New Roman" w:hAnsi="Times New Roman"/>
          <w:b w:val="false"/>
          <w:bCs w:val="false"/>
          <w:i w:val="false"/>
          <w:iCs w:val="false"/>
          <w:sz w:val="20"/>
          <w:szCs w:val="20"/>
        </w:rPr>
        <w:t xml:space="preserve">with weights set heuristically to reflect that IP-prefix and sending-time deviations are the strongest indicators of account takeover or spoofing observed during development. An anomaly score above 0.50 elevates an email for additional scrutiny in Phase 4; a score above 0.70 is treated as a trigger condition for the Phase 6 self-healing engine.</w:t>
      </w:r>
    </w:p>
    <w:p>
      <w:pPr>
        <w:keepNext/>
        <w:spacing w:after="80" w:before="160"/>
      </w:pPr>
      <w:r>
        <w:rPr>
          <w:rFonts w:ascii="Times New Roman" w:cs="Times New Roman" w:eastAsia="Times New Roman" w:hAnsi="Times New Roman"/>
          <w:b/>
          <w:bCs/>
          <w:i/>
          <w:iCs/>
          <w:sz w:val="20"/>
          <w:szCs w:val="20"/>
        </w:rPr>
        <w:t xml:space="preserve">E. Phase 3 — Bayesian Attribution Engine</w:t>
      </w:r>
    </w:p>
    <w:p>
      <w:pPr>
        <w:keepNext w:val="false"/>
        <w:spacing w:after="120" w:before="0" w:line="252" w:lineRule="auto"/>
        <w:jc w:val="both"/>
      </w:pPr>
      <w:r>
        <w:rPr>
          <w:rFonts w:ascii="Times New Roman" w:cs="Times New Roman" w:eastAsia="Times New Roman" w:hAnsi="Times New Roman"/>
          <w:b w:val="false"/>
          <w:bCs w:val="false"/>
          <w:i w:val="false"/>
          <w:iCs w:val="false"/>
          <w:sz w:val="20"/>
          <w:szCs w:val="20"/>
        </w:rPr>
        <w:t xml:space="preserve">Attackers routinely use VPNs, Tor exit nodes, and residential proxies to mask their point of origin, so a single IP-geolocation lookup is unreliable as evidence. Sentinel instead fuses eight independent signals — X-Originating-IP geolocation, Received-chain relay-IP geolocation, the UTC offset in the Date header, charset/MIME encoding as a regional indicator, domain-registrar/TLD geolocation, keyboard-layout artifacts in header text, ASN-to-nation mapping, and inter-hop relay latency as a proxy for geographic distance — using Bayesian posterior updating. For each candidate country c and each signal s, the posterior is updated proportionally to P(c | s) ∝ P(s | c) · P(c), beginning from a uniform prior and applying each signal's likelihood in turn; the country with the highest posterior after all signals is reported as the top attribution, with confidence expressed as the margin between the top-1 and top-2 posteriors.</w:t>
      </w:r>
    </w:p>
    <w:p>
      <w:pPr>
        <w:keepNext w:val="false"/>
        <w:spacing w:after="120" w:before="0" w:line="252" w:lineRule="auto"/>
        <w:ind w:firstLine="240"/>
        <w:jc w:val="both"/>
      </w:pPr>
      <w:r>
        <w:rPr>
          <w:rFonts w:ascii="Times New Roman" w:cs="Times New Roman" w:eastAsia="Times New Roman" w:hAnsi="Times New Roman"/>
          <w:b w:val="false"/>
          <w:bCs w:val="false"/>
          <w:i w:val="false"/>
          <w:iCs w:val="false"/>
          <w:sz w:val="20"/>
          <w:szCs w:val="20"/>
        </w:rPr>
        <w:t xml:space="preserve">The rationale for fusing many weak, largely independent signals rather than relying on IP alone is that timezone offset, charset choice, and TLD/registrar geography are difficult for an attacker to alter simultaneously and consistently while a VPN masks only the network-layer origin; defeating attribution therefore requires defeating all eight signals at once rather than a single lookup.</w:t>
      </w:r>
    </w:p>
    <w:p>
      <w:pPr>
        <w:keepNext/>
        <w:spacing w:after="80" w:before="160"/>
      </w:pPr>
      <w:r>
        <w:rPr>
          <w:rFonts w:ascii="Times New Roman" w:cs="Times New Roman" w:eastAsia="Times New Roman" w:hAnsi="Times New Roman"/>
          <w:b/>
          <w:bCs/>
          <w:i/>
          <w:iCs/>
          <w:sz w:val="20"/>
          <w:szCs w:val="20"/>
        </w:rPr>
        <w:t xml:space="preserve">F. Phase 4 — Multi-Agent Orchestration</w:t>
      </w:r>
    </w:p>
    <w:p>
      <w:pPr>
        <w:keepNext w:val="false"/>
        <w:spacing w:after="120" w:before="0" w:line="252" w:lineRule="auto"/>
        <w:jc w:val="both"/>
      </w:pPr>
      <w:r>
        <w:rPr>
          <w:rFonts w:ascii="Times New Roman" w:cs="Times New Roman" w:eastAsia="Times New Roman" w:hAnsi="Times New Roman"/>
          <w:b w:val="false"/>
          <w:bCs w:val="false"/>
          <w:i w:val="false"/>
          <w:iCs w:val="false"/>
          <w:sz w:val="20"/>
          <w:szCs w:val="20"/>
        </w:rPr>
        <w:t xml:space="preserve">Four role-specialized agents run in a fixed sequential pipeline. When an LLM API key is configured, each agent uses natural-language reasoning; without one, each agent falls back to a deterministic rule engine that produces an identical output schema, so the pipeline's behavior is fully specified even without an external model dependency.</w:t>
      </w:r>
    </w:p>
    <w:p>
      <w:pPr>
        <w:keepNext w:val="false"/>
        <w:spacing w:after="120" w:before="0" w:line="252" w:lineRule="auto"/>
        <w:ind w:firstLine="240"/>
        <w:jc w:val="both"/>
      </w:pPr>
      <w:r>
        <w:rPr>
          <w:rFonts w:ascii="Times New Roman" w:cs="Times New Roman" w:eastAsia="Times New Roman" w:hAnsi="Times New Roman"/>
          <w:b w:val="false"/>
          <w:bCs w:val="false"/>
          <w:i w:val="false"/>
          <w:iCs w:val="false"/>
          <w:sz w:val="20"/>
          <w:szCs w:val="20"/>
        </w:rPr>
        <w:t xml:space="preserve">The Detection Agent acts as a forensic analyst, applying eleven-plus rule checks — SPF/DKIM/DMARC failure or soft-failure, missing or invalid DKIM signatures, DMARC policy failure, From/Return-Path domain mismatch (display-name spoofing), Message-ID domain mismatch, an unusually low relay-hop count (a signature of header stripping), known malicious IP/domain patterns, Levenshtein-proximity lookalike-domain detection, urgency keywords in the subject line, executable MIME-type attachments, and Reply-To/From domain mismatch (reply hijacking) — and outputs a 0–100 detection score with supporting evidence.</w:t>
      </w:r>
    </w:p>
    <w:p>
      <w:pPr>
        <w:keepNext w:val="false"/>
        <w:spacing w:after="120" w:before="0" w:line="252" w:lineRule="auto"/>
        <w:ind w:firstLine="240"/>
        <w:jc w:val="both"/>
      </w:pPr>
      <w:r>
        <w:rPr>
          <w:rFonts w:ascii="Times New Roman" w:cs="Times New Roman" w:eastAsia="Times New Roman" w:hAnsi="Times New Roman"/>
          <w:b w:val="false"/>
          <w:bCs w:val="false"/>
          <w:i w:val="false"/>
          <w:iCs w:val="false"/>
          <w:sz w:val="20"/>
          <w:szCs w:val="20"/>
        </w:rPr>
        <w:t xml:space="preserve">The Risk Scoring Agent fuses the detection score with the Phase 2 anomaly score:</w:t>
      </w:r>
    </w:p>
    <w:p>
      <w:pPr>
        <w:keepNext w:val="false"/>
        <w:spacing w:after="100" w:before="0" w:line="252" w:lineRule="auto"/>
        <w:jc w:val="center"/>
      </w:pPr>
      <w:r>
        <w:rPr>
          <w:rFonts w:ascii="Times New Roman" w:cs="Times New Roman" w:eastAsia="Times New Roman" w:hAnsi="Times New Roman"/>
          <w:b w:val="false"/>
          <w:bCs w:val="false"/>
          <w:i/>
          <w:iCs/>
          <w:sz w:val="20"/>
          <w:szCs w:val="20"/>
        </w:rPr>
        <w:t xml:space="preserve">risk = 0.6 × detection_score + 0.4 × (anomaly_score × 100)</w:t>
      </w:r>
    </w:p>
    <w:p>
      <w:pPr>
        <w:keepNext w:val="false"/>
        <w:spacing w:after="120" w:before="0" w:line="252" w:lineRule="auto"/>
        <w:ind w:firstLine="240"/>
        <w:jc w:val="both"/>
      </w:pPr>
      <w:r>
        <w:rPr>
          <w:rFonts w:ascii="Times New Roman" w:cs="Times New Roman" w:eastAsia="Times New Roman" w:hAnsi="Times New Roman"/>
          <w:b w:val="false"/>
          <w:bCs w:val="false"/>
          <w:i w:val="false"/>
          <w:iCs w:val="false"/>
          <w:sz w:val="20"/>
          <w:szCs w:val="20"/>
        </w:rPr>
        <w:t xml:space="preserve">and maps the result to a severity band and recommended action: 0–35 (LOW) → ALLOW, 35–50 (MEDIUM) → REVIEW, 50–75 (HIGH) → ALERT, and 75–100 (CRITICAL) → QUARANTINE. The Explanation Agent then generates a two-to-three sentence, jargon-free rationale for the end user (e.g., noting a failed authentication check and an unusual sending time, with a concrete recommended action). The Adversarial Agent, finally, acts as a red-team challenger: it simulates evasion techniques against the current findings — timezone manipulation, cousin-domain substitution, IP rotation — and its output feeds directly into Phase 6, forming a continuous adversarial co-evolution loop between detection and defense.</w:t>
      </w:r>
    </w:p>
    <w:p>
      <w:pPr>
        <w:keepNext/>
        <w:spacing w:after="80" w:before="160"/>
      </w:pPr>
      <w:r>
        <w:rPr>
          <w:rFonts w:ascii="Times New Roman" w:cs="Times New Roman" w:eastAsia="Times New Roman" w:hAnsi="Times New Roman"/>
          <w:b/>
          <w:bCs/>
          <w:i/>
          <w:iCs/>
          <w:sz w:val="20"/>
          <w:szCs w:val="20"/>
        </w:rPr>
        <w:t xml:space="preserve">G. Phase 5 — Attack Graph Correlator</w:t>
      </w:r>
    </w:p>
    <w:p>
      <w:pPr>
        <w:keepNext w:val="false"/>
        <w:spacing w:after="120" w:before="0" w:line="252" w:lineRule="auto"/>
        <w:jc w:val="both"/>
      </w:pPr>
      <w:r>
        <w:rPr>
          <w:rFonts w:ascii="Times New Roman" w:cs="Times New Roman" w:eastAsia="Times New Roman" w:hAnsi="Times New Roman"/>
          <w:b w:val="false"/>
          <w:bCs w:val="false"/>
          <w:i w:val="false"/>
          <w:iCs w:val="false"/>
          <w:sz w:val="20"/>
          <w:szCs w:val="20"/>
        </w:rPr>
        <w:t xml:space="preserve">Individual-message analysis is structurally blind to campaigns that spread thousands of emails across rotating infrastructure over an extended period, since no single email in isolation crosses a high-risk threshold. Sentinel builds a directed graph, using NetworkX, in which every analyzed email injects typed nodes — email, ip, domain, subnet (the anonymized /24 prefix), and msgid_domain — connected by sent-from, sent-by, belongs-to, and message-ID-domain edges. Connected components containing at least three email nodes are classified as campaigns, and for each campaign the correlator computes degree centrality (identifying the most connected attacker-infrastructure node), betweenness centrality (identifying critical relay hubs), first-seen/last-seen timestamps, attack velocity, and geographic span drawn from Phase 3 attribution. This allows individual emails to be attributed to a coordinated actor even as IPs rotate and domains change between sends.</w:t>
      </w:r>
    </w:p>
    <w:p>
      <w:pPr>
        <w:keepNext/>
        <w:spacing w:after="80" w:before="160"/>
      </w:pPr>
      <w:r>
        <w:rPr>
          <w:rFonts w:ascii="Times New Roman" w:cs="Times New Roman" w:eastAsia="Times New Roman" w:hAnsi="Times New Roman"/>
          <w:b/>
          <w:bCs/>
          <w:i/>
          <w:iCs/>
          <w:sz w:val="20"/>
          <w:szCs w:val="20"/>
        </w:rPr>
        <w:t xml:space="preserve">H. Phase 6 — Self-Healing Policy Engine</w:t>
      </w:r>
    </w:p>
    <w:p>
      <w:pPr>
        <w:keepNext w:val="false"/>
        <w:spacing w:after="120" w:before="0" w:line="252" w:lineRule="auto"/>
        <w:jc w:val="both"/>
      </w:pPr>
      <w:r>
        <w:rPr>
          <w:rFonts w:ascii="Times New Roman" w:cs="Times New Roman" w:eastAsia="Times New Roman" w:hAnsi="Times New Roman"/>
          <w:b w:val="false"/>
          <w:bCs w:val="false"/>
          <w:i w:val="false"/>
          <w:iCs w:val="false"/>
          <w:sz w:val="20"/>
          <w:szCs w:val="20"/>
        </w:rPr>
        <w:t xml:space="preserve">Traditional email-security tools require a human to push a new rule after each newly observed attack pattern. Sentinel's self-healing engine instead updates its own policy state autonomously and in real time from confirmed detections and from the Adversarial Agent's findings. A risk score at or above 75 auto-adds the sender domain and originating IP to the respective blocklists; a confirmed timezone-evasion finding expands the suspicious-hours matrix; a confirmed cousin-domain finding tightens the anomaly threshold by 0.03; and an anomaly spike above 0.70 lowers the global anomaly threshold by 0.05. Every healing action is appended to an immutable audit trail and exposed through a policy-state API endpoint and dashboard panel, so autonomous changes remain fully auditable even though they require no manual approval to take effect.</w:t>
      </w:r>
    </w:p>
    <w:p>
      <w:pPr>
        <w:keepNext/>
        <w:spacing w:after="140" w:before="240"/>
        <w:jc w:val="center"/>
      </w:pPr>
      <w:r>
        <w:rPr>
          <w:rFonts w:ascii="Times New Roman" w:cs="Times New Roman" w:eastAsia="Times New Roman" w:hAnsi="Times New Roman"/>
          <w:b/>
          <w:bCs/>
          <w:sz w:val="21"/>
          <w:szCs w:val="21"/>
        </w:rPr>
        <w:t xml:space="preserve">IV. EXPERIMENTAL SETUP</w:t>
      </w:r>
    </w:p>
    <w:p>
      <w:pPr>
        <w:keepNext w:val="false"/>
        <w:spacing w:after="120" w:before="0" w:line="252" w:lineRule="auto"/>
        <w:jc w:val="both"/>
      </w:pPr>
      <w:r>
        <w:rPr>
          <w:rFonts w:ascii="Times New Roman" w:cs="Times New Roman" w:eastAsia="Times New Roman" w:hAnsi="Times New Roman"/>
          <w:b w:val="false"/>
          <w:bCs w:val="false"/>
          <w:i w:val="false"/>
          <w:iCs w:val="false"/>
          <w:sz w:val="20"/>
          <w:szCs w:val="20"/>
        </w:rPr>
        <w:t xml:space="preserve">Sentinel is implemented as a FastAPI backend with a Next.js 14 dashboard front end. FastAPI was chosen for its async-native request handling, automatic OpenAPI/Swagger documentation, and built-in WebSocket support, roughly three times faster in request throughput than a comparable synchronous Flask deployment for this workload. Pydantic v2 provides strict schema validation across all data models. NetworkX supplies the production graph algorithms (connected components, degree and betweenness centrality) used in Phase 5. NumPy vectorizes the probability computations in Phases 2 and 3. Multi-agent orchestration in Phase 4 uses the CrewAI framework, with role-based prompting and task chaining when an OpenAI API key is supplied, and a deterministic rule-engine fallback otherwise. The front end uses D3.js for force-directed attack-graph rendering and Recharts for statistical panels, communicating with the backend over WebSockets for live updates. The design targets MongoDB for persistent storage of Digital Twin profiles, graph state, and the healing audit log; the evaluation reported here ran against in-memory state.</w:t>
      </w:r>
    </w:p>
    <w:p>
      <w:pPr>
        <w:keepNext w:val="false"/>
        <w:spacing w:after="120" w:before="0" w:line="252" w:lineRule="auto"/>
        <w:ind w:firstLine="240"/>
        <w:jc w:val="both"/>
      </w:pPr>
      <w:r>
        <w:rPr>
          <w:rFonts w:ascii="Times New Roman" w:cs="Times New Roman" w:eastAsia="Times New Roman" w:hAnsi="Times New Roman"/>
          <w:b w:val="false"/>
          <w:bCs w:val="false"/>
          <w:i w:val="false"/>
          <w:iCs w:val="false"/>
          <w:sz w:val="20"/>
          <w:szCs w:val="20"/>
        </w:rPr>
        <w:t xml:space="preserve">The evaluation corpus is EPVME (Email Phishing and Vulnerability Metadata Engine), a curated academic collection of real-world phishing and legitimate emails used in email-security research; folder 3 of the corpus, comprising 7,446 messages and labeled as phishing, was used for this run. Emails were submitted to the /analyze/batch endpoint with 20 concurrent asynchronous HTTP workers. Because the corpus is single-class, the evaluation reported below is operational rather than a classification-metric study: we report parser robustness, throughput, the distribution of risk-based actions the pipeline assigned, and the number and structure of campaigns the graph correlator recovered, and we return to what a properly controlled, balanced classification study would additionally require in Section V-E.</w:t>
      </w:r>
    </w:p>
    <w:p>
      <w:pPr>
        <w:spacing w:after="160" w:before="40"/>
        <w:jc w:val="center"/>
      </w:pPr>
      <w:r>
        <w:rPr>
          <w:rFonts w:ascii="Times New Roman" w:cs="Times New Roman" w:eastAsia="Times New Roman" w:hAnsi="Times New Roman"/>
          <w:i w:val="false"/>
          <w:iCs w:val="false"/>
          <w:sz w:val="16"/>
          <w:szCs w:val="16"/>
        </w:rPr>
        <w:t xml:space="preserve">Table I.  Bulk evaluation run statistics — EPVME corpus, folder 3 (n = 7,446).</w:t>
      </w:r>
    </w:p>
    <w:tbl>
      <w:tblPr>
        <w:tblW w:type="dxa" w:w="4680"/>
        <w:tblBorders>
          <w:top w:val="single" w:color="auto" w:sz="4"/>
          <w:left w:val="single" w:color="auto" w:sz="4"/>
          <w:bottom w:val="single" w:color="auto" w:sz="4"/>
          <w:right w:val="single" w:color="auto" w:sz="4"/>
          <w:insideH w:val="single" w:color="auto" w:sz="4"/>
          <w:insideV w:val="single" w:color="auto" w:sz="4"/>
        </w:tblBorders>
      </w:tblPr>
      <w:tblGrid>
        <w:gridCol w:w="2600"/>
        <w:gridCol w:w="2080"/>
      </w:tblGrid>
      <w:tr>
        <w:trPr>
          <w:cantSplit/>
          <w:tblHeader/>
        </w:trPr>
        <w:tc>
          <w:tcPr>
            <w:tcW w:type="dxa" w:w="2600"/>
            <w:shd w:fill="1F1F1F" w:val="clear"/>
            <w:tcMar>
              <w:top w:type="dxa" w:w="50"/>
              <w:left w:type="dxa" w:w="60"/>
              <w:bottom w:type="dxa" w:w="50"/>
              <w:right w:type="dxa" w:w="60"/>
            </w:tcMar>
          </w:tcPr>
          <w:p>
            <w:pPr>
              <w:jc w:val="center"/>
            </w:pPr>
            <w:r>
              <w:rPr>
                <w:rFonts w:ascii="Times New Roman" w:cs="Times New Roman" w:eastAsia="Times New Roman" w:hAnsi="Times New Roman"/>
                <w:b/>
                <w:bCs/>
                <w:color w:val="FFFFFF"/>
                <w:sz w:val="15"/>
                <w:szCs w:val="15"/>
              </w:rPr>
              <w:t xml:space="preserve">Metric</w:t>
            </w:r>
          </w:p>
        </w:tc>
        <w:tc>
          <w:tcPr>
            <w:tcW w:type="dxa" w:w="2080"/>
            <w:shd w:fill="1F1F1F" w:val="clear"/>
            <w:tcMar>
              <w:top w:type="dxa" w:w="50"/>
              <w:left w:type="dxa" w:w="60"/>
              <w:bottom w:type="dxa" w:w="50"/>
              <w:right w:type="dxa" w:w="60"/>
            </w:tcMar>
          </w:tcPr>
          <w:p>
            <w:pPr>
              <w:jc w:val="center"/>
            </w:pPr>
            <w:r>
              <w:rPr>
                <w:rFonts w:ascii="Times New Roman" w:cs="Times New Roman" w:eastAsia="Times New Roman" w:hAnsi="Times New Roman"/>
                <w:b/>
                <w:bCs/>
                <w:color w:val="FFFFFF"/>
                <w:sz w:val="15"/>
                <w:szCs w:val="15"/>
              </w:rPr>
              <w:t xml:space="preserve">Value</w:t>
            </w:r>
          </w:p>
        </w:tc>
      </w:tr>
      <w:tr>
        <w:trPr>
          <w:cantSplit/>
        </w:trPr>
        <w:tc>
          <w:tcPr>
            <w:tcW w:type="dxa" w:w="2600"/>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Total emails submitted</w:t>
            </w:r>
          </w:p>
        </w:tc>
        <w:tc>
          <w:tcPr>
            <w:tcW w:type="dxa" w:w="2080"/>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7,446</w:t>
            </w:r>
          </w:p>
        </w:tc>
      </w:tr>
      <w:tr>
        <w:trPr>
          <w:cantSplit/>
        </w:trPr>
        <w:tc>
          <w:tcPr>
            <w:tcW w:type="dxa" w:w="2600"/>
            <w:shd w:fill="F2F2F2" w:val="clear"/>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Successfully analyzed</w:t>
            </w:r>
          </w:p>
        </w:tc>
        <w:tc>
          <w:tcPr>
            <w:tcW w:type="dxa" w:w="2080"/>
            <w:shd w:fill="F2F2F2" w:val="clear"/>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6,741 (90.53%)</w:t>
            </w:r>
          </w:p>
        </w:tc>
      </w:tr>
      <w:tr>
        <w:trPr>
          <w:cantSplit/>
        </w:trPr>
        <w:tc>
          <w:tcPr>
            <w:tcW w:type="dxa" w:w="2600"/>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Parser/API errors (HTTP 500)</w:t>
            </w:r>
          </w:p>
        </w:tc>
        <w:tc>
          <w:tcPr>
            <w:tcW w:type="dxa" w:w="2080"/>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705 (9.47%)</w:t>
            </w:r>
          </w:p>
        </w:tc>
      </w:tr>
      <w:tr>
        <w:trPr>
          <w:cantSplit/>
        </w:trPr>
        <w:tc>
          <w:tcPr>
            <w:tcW w:type="dxa" w:w="2600"/>
            <w:shd w:fill="F2F2F2" w:val="clear"/>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Wall-clock processing time</w:t>
            </w:r>
          </w:p>
        </w:tc>
        <w:tc>
          <w:tcPr>
            <w:tcW w:type="dxa" w:w="2080"/>
            <w:shd w:fill="F2F2F2" w:val="clear"/>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461.4 s</w:t>
            </w:r>
          </w:p>
        </w:tc>
      </w:tr>
      <w:tr>
        <w:trPr>
          <w:cantSplit/>
        </w:trPr>
        <w:tc>
          <w:tcPr>
            <w:tcW w:type="dxa" w:w="2600"/>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Throughput (20 async workers)</w:t>
            </w:r>
          </w:p>
        </w:tc>
        <w:tc>
          <w:tcPr>
            <w:tcW w:type="dxa" w:w="2080"/>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16.1 emails/s</w:t>
            </w:r>
          </w:p>
        </w:tc>
      </w:tr>
      <w:tr>
        <w:trPr>
          <w:cantSplit/>
        </w:trPr>
        <w:tc>
          <w:tcPr>
            <w:tcW w:type="dxa" w:w="2600"/>
            <w:shd w:fill="F2F2F2" w:val="clear"/>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Average risk score</w:t>
            </w:r>
          </w:p>
        </w:tc>
        <w:tc>
          <w:tcPr>
            <w:tcW w:type="dxa" w:w="2080"/>
            <w:shd w:fill="F2F2F2" w:val="clear"/>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29.17 / 100</w:t>
            </w:r>
          </w:p>
        </w:tc>
      </w:tr>
      <w:tr>
        <w:trPr>
          <w:cantSplit/>
        </w:trPr>
        <w:tc>
          <w:tcPr>
            <w:tcW w:type="dxa" w:w="2600"/>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Maximum risk score observed</w:t>
            </w:r>
          </w:p>
        </w:tc>
        <w:tc>
          <w:tcPr>
            <w:tcW w:type="dxa" w:w="2080"/>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61.0 / 100</w:t>
            </w:r>
          </w:p>
        </w:tc>
      </w:tr>
      <w:tr>
        <w:trPr>
          <w:cantSplit/>
        </w:trPr>
        <w:tc>
          <w:tcPr>
            <w:tcW w:type="dxa" w:w="2600"/>
            <w:shd w:fill="F2F2F2" w:val="clear"/>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Average end-to-end latency</w:t>
            </w:r>
          </w:p>
        </w:tc>
        <w:tc>
          <w:tcPr>
            <w:tcW w:type="dxa" w:w="2080"/>
            <w:shd w:fill="F2F2F2" w:val="clear"/>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1,238 ms / email</w:t>
            </w:r>
          </w:p>
        </w:tc>
      </w:tr>
      <w:tr>
        <w:trPr>
          <w:cantSplit/>
        </w:trPr>
        <w:tc>
          <w:tcPr>
            <w:tcW w:type="dxa" w:w="2600"/>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Coordinated campaigns detected</w:t>
            </w:r>
          </w:p>
        </w:tc>
        <w:tc>
          <w:tcPr>
            <w:tcW w:type="dxa" w:w="2080"/>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4,644</w:t>
            </w:r>
          </w:p>
        </w:tc>
      </w:tr>
    </w:tbl>
    <w:p>
      <w:pPr>
        <w:spacing w:after="160"/>
      </w:pPr>
    </w:p>
    <w:p>
      <w:pPr>
        <w:keepNext/>
        <w:spacing w:after="140" w:before="240"/>
        <w:jc w:val="center"/>
      </w:pPr>
      <w:r>
        <w:rPr>
          <w:rFonts w:ascii="Times New Roman" w:cs="Times New Roman" w:eastAsia="Times New Roman" w:hAnsi="Times New Roman"/>
          <w:b/>
          <w:bCs/>
          <w:sz w:val="21"/>
          <w:szCs w:val="21"/>
        </w:rPr>
        <w:t xml:space="preserve">V. RESULTS AND DISCUSSION</w:t>
      </w:r>
    </w:p>
    <w:p>
      <w:pPr>
        <w:keepNext/>
        <w:spacing w:after="80" w:before="160"/>
      </w:pPr>
      <w:r>
        <w:rPr>
          <w:rFonts w:ascii="Times New Roman" w:cs="Times New Roman" w:eastAsia="Times New Roman" w:hAnsi="Times New Roman"/>
          <w:b/>
          <w:bCs/>
          <w:i/>
          <w:iCs/>
          <w:sz w:val="20"/>
          <w:szCs w:val="20"/>
        </w:rPr>
        <w:t xml:space="preserve">A. Operational Performance</w:t>
      </w:r>
    </w:p>
    <w:p>
      <w:pPr>
        <w:keepNext w:val="false"/>
        <w:spacing w:after="120" w:before="0" w:line="252" w:lineRule="auto"/>
        <w:jc w:val="both"/>
      </w:pPr>
      <w:r>
        <w:rPr>
          <w:rFonts w:ascii="Times New Roman" w:cs="Times New Roman" w:eastAsia="Times New Roman" w:hAnsi="Times New Roman"/>
          <w:b w:val="false"/>
          <w:bCs w:val="false"/>
          <w:i w:val="false"/>
          <w:iCs w:val="false"/>
          <w:sz w:val="20"/>
          <w:szCs w:val="20"/>
        </w:rPr>
        <w:t xml:space="preserve">Table I summarizes the bulk run. Sentinel successfully parsed and analyzed 6,741 of 7,446 submitted emails (90.53%) in 461.4 seconds, a throughput of 16.1 emails/second under 20 concurrent async HTTP workers, with an average end-to-end latency of 1,238 ms per email through all six phases. Because the multi-agent Phase 4 step accounts for the majority of this latency when an LLM call is in the loop (roughly 800 ms in the rule-fallback configuration, and higher with a live LLM call), we expect a production deployment invoking the analysis pipeline directly rather than over HTTP, and executing Phase-4 agents asynchronously, to reach 50–200 emails/second on comparable hardware.</w:t>
      </w:r>
    </w:p>
    <w:p>
      <w:pPr>
        <w:keepNext/>
        <w:spacing w:after="80" w:before="160"/>
      </w:pPr>
      <w:r>
        <w:rPr>
          <w:rFonts w:ascii="Times New Roman" w:cs="Times New Roman" w:eastAsia="Times New Roman" w:hAnsi="Times New Roman"/>
          <w:b/>
          <w:bCs/>
          <w:i/>
          <w:iCs/>
          <w:sz w:val="20"/>
          <w:szCs w:val="20"/>
        </w:rPr>
        <w:t xml:space="preserve">B. Action Distribution and Threshold Behavior</w:t>
      </w:r>
    </w:p>
    <w:p>
      <w:pPr>
        <w:spacing w:after="160" w:before="40"/>
        <w:jc w:val="center"/>
      </w:pPr>
      <w:r>
        <w:rPr>
          <w:rFonts w:ascii="Times New Roman" w:cs="Times New Roman" w:eastAsia="Times New Roman" w:hAnsi="Times New Roman"/>
          <w:i w:val="false"/>
          <w:iCs w:val="false"/>
          <w:sz w:val="16"/>
          <w:szCs w:val="16"/>
        </w:rPr>
        <w:t xml:space="preserve">Table II.  Distribution of risk-based actions assigned across the 6,741 successfully analyzed emails.</w:t>
      </w:r>
    </w:p>
    <w:tbl>
      <w:tblPr>
        <w:tblW w:type="dxa" w:w="4680"/>
        <w:tblBorders>
          <w:top w:val="single" w:color="auto" w:sz="4"/>
          <w:left w:val="single" w:color="auto" w:sz="4"/>
          <w:bottom w:val="single" w:color="auto" w:sz="4"/>
          <w:right w:val="single" w:color="auto" w:sz="4"/>
          <w:insideH w:val="single" w:color="auto" w:sz="4"/>
          <w:insideV w:val="single" w:color="auto" w:sz="4"/>
        </w:tblBorders>
      </w:tblPr>
      <w:tblGrid>
        <w:gridCol w:w="1560"/>
        <w:gridCol w:w="1520"/>
        <w:gridCol w:w="1600"/>
      </w:tblGrid>
      <w:tr>
        <w:trPr>
          <w:cantSplit/>
          <w:tblHeader/>
        </w:trPr>
        <w:tc>
          <w:tcPr>
            <w:tcW w:type="dxa" w:w="1560"/>
            <w:shd w:fill="1F1F1F" w:val="clear"/>
            <w:tcMar>
              <w:top w:type="dxa" w:w="50"/>
              <w:left w:type="dxa" w:w="60"/>
              <w:bottom w:type="dxa" w:w="50"/>
              <w:right w:type="dxa" w:w="60"/>
            </w:tcMar>
          </w:tcPr>
          <w:p>
            <w:pPr>
              <w:jc w:val="center"/>
            </w:pPr>
            <w:r>
              <w:rPr>
                <w:rFonts w:ascii="Times New Roman" w:cs="Times New Roman" w:eastAsia="Times New Roman" w:hAnsi="Times New Roman"/>
                <w:b/>
                <w:bCs/>
                <w:color w:val="FFFFFF"/>
                <w:sz w:val="15"/>
                <w:szCs w:val="15"/>
              </w:rPr>
              <w:t xml:space="preserve">Action</w:t>
            </w:r>
          </w:p>
        </w:tc>
        <w:tc>
          <w:tcPr>
            <w:tcW w:type="dxa" w:w="1520"/>
            <w:shd w:fill="1F1F1F" w:val="clear"/>
            <w:tcMar>
              <w:top w:type="dxa" w:w="50"/>
              <w:left w:type="dxa" w:w="60"/>
              <w:bottom w:type="dxa" w:w="50"/>
              <w:right w:type="dxa" w:w="60"/>
            </w:tcMar>
          </w:tcPr>
          <w:p>
            <w:pPr>
              <w:jc w:val="center"/>
            </w:pPr>
            <w:r>
              <w:rPr>
                <w:rFonts w:ascii="Times New Roman" w:cs="Times New Roman" w:eastAsia="Times New Roman" w:hAnsi="Times New Roman"/>
                <w:b/>
                <w:bCs/>
                <w:color w:val="FFFFFF"/>
                <w:sz w:val="15"/>
                <w:szCs w:val="15"/>
              </w:rPr>
              <w:t xml:space="preserve">Count</w:t>
            </w:r>
          </w:p>
        </w:tc>
        <w:tc>
          <w:tcPr>
            <w:tcW w:type="dxa" w:w="1600"/>
            <w:shd w:fill="1F1F1F" w:val="clear"/>
            <w:tcMar>
              <w:top w:type="dxa" w:w="50"/>
              <w:left w:type="dxa" w:w="60"/>
              <w:bottom w:type="dxa" w:w="50"/>
              <w:right w:type="dxa" w:w="60"/>
            </w:tcMar>
          </w:tcPr>
          <w:p>
            <w:pPr>
              <w:jc w:val="center"/>
            </w:pPr>
            <w:r>
              <w:rPr>
                <w:rFonts w:ascii="Times New Roman" w:cs="Times New Roman" w:eastAsia="Times New Roman" w:hAnsi="Times New Roman"/>
                <w:b/>
                <w:bCs/>
                <w:color w:val="FFFFFF"/>
                <w:sz w:val="15"/>
                <w:szCs w:val="15"/>
              </w:rPr>
              <w:t xml:space="preserve">Share</w:t>
            </w:r>
          </w:p>
        </w:tc>
      </w:tr>
      <w:tr>
        <w:trPr>
          <w:cantSplit/>
        </w:trPr>
        <w:tc>
          <w:tcPr>
            <w:tcW w:type="dxa" w:w="1560"/>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REVIEW</w:t>
            </w:r>
          </w:p>
        </w:tc>
        <w:tc>
          <w:tcPr>
            <w:tcW w:type="dxa" w:w="1520"/>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6,655</w:t>
            </w:r>
          </w:p>
        </w:tc>
        <w:tc>
          <w:tcPr>
            <w:tcW w:type="dxa" w:w="1600"/>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98.7%</w:t>
            </w:r>
          </w:p>
        </w:tc>
      </w:tr>
      <w:tr>
        <w:trPr>
          <w:cantSplit/>
        </w:trPr>
        <w:tc>
          <w:tcPr>
            <w:tcW w:type="dxa" w:w="1560"/>
            <w:shd w:fill="F2F2F2" w:val="clear"/>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ALLOW</w:t>
            </w:r>
          </w:p>
        </w:tc>
        <w:tc>
          <w:tcPr>
            <w:tcW w:type="dxa" w:w="1520"/>
            <w:shd w:fill="F2F2F2" w:val="clear"/>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80</w:t>
            </w:r>
          </w:p>
        </w:tc>
        <w:tc>
          <w:tcPr>
            <w:tcW w:type="dxa" w:w="1600"/>
            <w:shd w:fill="F2F2F2" w:val="clear"/>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1.2%</w:t>
            </w:r>
          </w:p>
        </w:tc>
      </w:tr>
      <w:tr>
        <w:trPr>
          <w:cantSplit/>
        </w:trPr>
        <w:tc>
          <w:tcPr>
            <w:tcW w:type="dxa" w:w="1560"/>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ALERT</w:t>
            </w:r>
          </w:p>
        </w:tc>
        <w:tc>
          <w:tcPr>
            <w:tcW w:type="dxa" w:w="1520"/>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6</w:t>
            </w:r>
          </w:p>
        </w:tc>
        <w:tc>
          <w:tcPr>
            <w:tcW w:type="dxa" w:w="1600"/>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0.09%</w:t>
            </w:r>
          </w:p>
        </w:tc>
      </w:tr>
      <w:tr>
        <w:trPr>
          <w:cantSplit/>
        </w:trPr>
        <w:tc>
          <w:tcPr>
            <w:tcW w:type="dxa" w:w="1560"/>
            <w:shd w:fill="F2F2F2" w:val="clear"/>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QUARANTINE</w:t>
            </w:r>
          </w:p>
        </w:tc>
        <w:tc>
          <w:tcPr>
            <w:tcW w:type="dxa" w:w="1520"/>
            <w:shd w:fill="F2F2F2" w:val="clear"/>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0</w:t>
            </w:r>
          </w:p>
        </w:tc>
        <w:tc>
          <w:tcPr>
            <w:tcW w:type="dxa" w:w="1600"/>
            <w:shd w:fill="F2F2F2" w:val="clear"/>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0.00%</w:t>
            </w:r>
          </w:p>
        </w:tc>
      </w:tr>
    </w:tbl>
    <w:p>
      <w:pPr>
        <w:spacing w:after="160"/>
      </w:pPr>
    </w:p>
    <w:p>
      <w:pPr>
        <w:keepNext w:val="false"/>
        <w:spacing w:after="120" w:before="0" w:line="252" w:lineRule="auto"/>
        <w:jc w:val="both"/>
      </w:pPr>
      <w:r>
        <w:rPr>
          <w:rFonts w:ascii="Times New Roman" w:cs="Times New Roman" w:eastAsia="Times New Roman" w:hAnsi="Times New Roman"/>
          <w:b w:val="false"/>
          <w:bCs w:val="false"/>
          <w:i w:val="false"/>
          <w:iCs w:val="false"/>
          <w:sz w:val="20"/>
          <w:szCs w:val="20"/>
        </w:rPr>
        <w:t xml:space="preserve">Table II shows the distribution of risk-based actions. 98.7% of successfully analyzed emails were escalated to REVIEW; since the evaluation corpus is entirely labeled phishing, this is the expected and correct behavior — the system consistently flagged the malicious traffic rather than silently allowing it. The maximum risk score observed across the run was 61.0 out of 100, below the 75-point QUARANTINE threshold, indicating that this folder of the corpus consists predominantly of mid-confidence phishing rather than highly aggressive BEC attempts; the conservative, intentionally high QUARANTINE threshold is designed to minimize false auto-blocks of legitimate mail at the cost of not auto-quarantining mid-confidence samples. Consistent with this, zero self-healing block events were triggered organically during the bulk run itself, since none of the analyzed emails crossed the 75-point condition that arms the auto-blocklisting rule in Phase 6 — expected behavior for a corpus of this composition, and the reason we examine the self-healing mechanism separately as a worked example in Section V-G.</w:t>
      </w:r>
    </w:p>
    <w:p>
      <w:pPr>
        <w:keepNext/>
        <w:spacing w:after="80" w:before="160"/>
      </w:pPr>
      <w:r>
        <w:rPr>
          <w:rFonts w:ascii="Times New Roman" w:cs="Times New Roman" w:eastAsia="Times New Roman" w:hAnsi="Times New Roman"/>
          <w:b/>
          <w:bCs/>
          <w:i/>
          <w:iCs/>
          <w:sz w:val="20"/>
          <w:szCs w:val="20"/>
        </w:rPr>
        <w:t xml:space="preserve">C. Campaign Correlation</w:t>
      </w:r>
    </w:p>
    <w:p>
      <w:pPr>
        <w:keepNext w:val="false"/>
        <w:spacing w:after="120" w:before="0" w:line="252" w:lineRule="auto"/>
        <w:jc w:val="both"/>
      </w:pPr>
      <w:r>
        <w:rPr>
          <w:rFonts w:ascii="Times New Roman" w:cs="Times New Roman" w:eastAsia="Times New Roman" w:hAnsi="Times New Roman"/>
          <w:b w:val="false"/>
          <w:bCs w:val="false"/>
          <w:i w:val="false"/>
          <w:iCs w:val="false"/>
          <w:sz w:val="20"/>
          <w:szCs w:val="20"/>
        </w:rPr>
        <w:t xml:space="preserve">The Phase 5 attack-graph correlator identified 4,644 connected components of at least three email nodes, indicating that a substantial fraction of the corpus shares sending infrastructure — IPs, domains, or relay hops — consistent with coordinated sending operations rather than fully independent phishing attempts. This is the result that a per-email classifier, however accurate, cannot in principle surface: campaign membership is a property of the relationships between messages, not of any single message's content or headers.</w:t>
      </w:r>
    </w:p>
    <w:p>
      <w:pPr>
        <w:keepNext/>
        <w:spacing w:after="80" w:before="160"/>
      </w:pPr>
      <w:r>
        <w:rPr>
          <w:rFonts w:ascii="Times New Roman" w:cs="Times New Roman" w:eastAsia="Times New Roman" w:hAnsi="Times New Roman"/>
          <w:b/>
          <w:bCs/>
          <w:i/>
          <w:iCs/>
          <w:sz w:val="20"/>
          <w:szCs w:val="20"/>
        </w:rPr>
        <w:t xml:space="preserve">D. Comparison with Representative Baselines</w:t>
      </w:r>
    </w:p>
    <w:p>
      <w:pPr>
        <w:sectPr>
          <w:footerReference w:type="default" r:id="rId7"/>
          <w:type w:val="continuous"/>
          <w:pgSz w:w="12240" w:h="15840" w:orient="portrait"/>
          <w:pgMar w:top="1080" w:right="1080" w:bottom="1080" w:left="1080" w:header="708" w:footer="708" w:gutter="0"/>
          <w:pgNumType/>
          <w:cols w:space="360" w:num="2"/>
          <w:docGrid w:linePitch="360"/>
        </w:sectPr>
      </w:pPr>
    </w:p>
    <w:p>
      <w:pPr>
        <w:spacing w:after="160" w:before="40"/>
        <w:jc w:val="center"/>
      </w:pPr>
      <w:r>
        <w:rPr>
          <w:rFonts w:ascii="Times New Roman" w:cs="Times New Roman" w:eastAsia="Times New Roman" w:hAnsi="Times New Roman"/>
          <w:i w:val="false"/>
          <w:iCs w:val="false"/>
          <w:sz w:val="16"/>
          <w:szCs w:val="16"/>
        </w:rPr>
        <w:t xml:space="preserve">Table III.  Comparison with representative baseline architectures. Baseline accuracy/FPR figures are drawn from vendor guidance or literature survey ranges and were not independently reproduced in this study; cells marked "pending" for Sentinel reflect Section V-F, not omitted favorable results. The comparison is therefore evidentiary where sourced and explicitly qualitative/flagged where it is not.</w:t>
      </w:r>
    </w:p>
    <w:tbl>
      <w:tblPr>
        <w:tblW w:type="dxa" w:w="915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1750"/>
        <w:gridCol w:w="1900"/>
        <w:gridCol w:w="2000"/>
      </w:tblGrid>
      <w:tr>
        <w:trPr>
          <w:cantSplit/>
          <w:tblHeader/>
        </w:trPr>
        <w:tc>
          <w:tcPr>
            <w:tcW w:type="dxa" w:w="1500"/>
            <w:shd w:fill="1F1F1F" w:val="clear"/>
            <w:tcMar>
              <w:top w:type="dxa" w:w="50"/>
              <w:left w:type="dxa" w:w="60"/>
              <w:bottom w:type="dxa" w:w="50"/>
              <w:right w:type="dxa" w:w="60"/>
            </w:tcMar>
          </w:tcPr>
          <w:p>
            <w:pPr>
              <w:jc w:val="center"/>
            </w:pPr>
            <w:r>
              <w:rPr>
                <w:rFonts w:ascii="Times New Roman" w:cs="Times New Roman" w:eastAsia="Times New Roman" w:hAnsi="Times New Roman"/>
                <w:b/>
                <w:bCs/>
                <w:color w:val="FFFFFF"/>
                <w:sz w:val="15"/>
                <w:szCs w:val="15"/>
              </w:rPr>
              <w:t xml:space="preserve">Dimension</w:t>
            </w:r>
          </w:p>
        </w:tc>
        <w:tc>
          <w:tcPr>
            <w:tcW w:type="dxa" w:w="2000"/>
            <w:shd w:fill="1F1F1F" w:val="clear"/>
            <w:tcMar>
              <w:top w:type="dxa" w:w="50"/>
              <w:left w:type="dxa" w:w="60"/>
              <w:bottom w:type="dxa" w:w="50"/>
              <w:right w:type="dxa" w:w="60"/>
            </w:tcMar>
          </w:tcPr>
          <w:p>
            <w:pPr>
              <w:jc w:val="center"/>
            </w:pPr>
            <w:r>
              <w:rPr>
                <w:rFonts w:ascii="Times New Roman" w:cs="Times New Roman" w:eastAsia="Times New Roman" w:hAnsi="Times New Roman"/>
                <w:b/>
                <w:bCs/>
                <w:color w:val="FFFFFF"/>
                <w:sz w:val="15"/>
                <w:szCs w:val="15"/>
              </w:rPr>
              <w:t xml:space="preserve">SpamAssassin (rule/Bayesian)</w:t>
            </w:r>
          </w:p>
        </w:tc>
        <w:tc>
          <w:tcPr>
            <w:tcW w:type="dxa" w:w="1750"/>
            <w:shd w:fill="1F1F1F" w:val="clear"/>
            <w:tcMar>
              <w:top w:type="dxa" w:w="50"/>
              <w:left w:type="dxa" w:w="60"/>
              <w:bottom w:type="dxa" w:w="50"/>
              <w:right w:type="dxa" w:w="60"/>
            </w:tcMar>
          </w:tcPr>
          <w:p>
            <w:pPr>
              <w:jc w:val="center"/>
            </w:pPr>
            <w:r>
              <w:rPr>
                <w:rFonts w:ascii="Times New Roman" w:cs="Times New Roman" w:eastAsia="Times New Roman" w:hAnsi="Times New Roman"/>
                <w:b/>
                <w:bCs/>
                <w:color w:val="FFFFFF"/>
                <w:sz w:val="15"/>
                <w:szCs w:val="15"/>
              </w:rPr>
              <w:t xml:space="preserve">Random Forest, header-only [7]</w:t>
            </w:r>
          </w:p>
        </w:tc>
        <w:tc>
          <w:tcPr>
            <w:tcW w:type="dxa" w:w="1900"/>
            <w:shd w:fill="1F1F1F" w:val="clear"/>
            <w:tcMar>
              <w:top w:type="dxa" w:w="50"/>
              <w:left w:type="dxa" w:w="60"/>
              <w:bottom w:type="dxa" w:w="50"/>
              <w:right w:type="dxa" w:w="60"/>
            </w:tcMar>
          </w:tcPr>
          <w:p>
            <w:pPr>
              <w:jc w:val="center"/>
            </w:pPr>
            <w:r>
              <w:rPr>
                <w:rFonts w:ascii="Times New Roman" w:cs="Times New Roman" w:eastAsia="Times New Roman" w:hAnsi="Times New Roman"/>
                <w:b/>
                <w:bCs/>
                <w:color w:val="FFFFFF"/>
                <w:sz w:val="15"/>
                <w:szCs w:val="15"/>
              </w:rPr>
              <w:t xml:space="preserve">GPT-4-class LLM classifier [11],[16]</w:t>
            </w:r>
          </w:p>
        </w:tc>
        <w:tc>
          <w:tcPr>
            <w:tcW w:type="dxa" w:w="2000"/>
            <w:shd w:fill="1F1F1F" w:val="clear"/>
            <w:tcMar>
              <w:top w:type="dxa" w:w="50"/>
              <w:left w:type="dxa" w:w="60"/>
              <w:bottom w:type="dxa" w:w="50"/>
              <w:right w:type="dxa" w:w="60"/>
            </w:tcMar>
          </w:tcPr>
          <w:p>
            <w:pPr>
              <w:jc w:val="center"/>
            </w:pPr>
            <w:r>
              <w:rPr>
                <w:rFonts w:ascii="Times New Roman" w:cs="Times New Roman" w:eastAsia="Times New Roman" w:hAnsi="Times New Roman"/>
                <w:b/>
                <w:bCs/>
                <w:color w:val="FFFFFF"/>
                <w:sz w:val="15"/>
                <w:szCs w:val="15"/>
              </w:rPr>
              <w:t xml:space="preserve">Sentinel (this work)</w:t>
            </w:r>
          </w:p>
        </w:tc>
      </w:tr>
      <w:tr>
        <w:trPr>
          <w:cantSplit/>
        </w:trPr>
        <w:tc>
          <w:tcPr>
            <w:tcW w:type="dxa" w:w="1500"/>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Data accessed</w:t>
            </w:r>
          </w:p>
        </w:tc>
        <w:tc>
          <w:tcPr>
            <w:tcW w:type="dxa" w:w="2000"/>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Headers + body content</w:t>
            </w:r>
          </w:p>
        </w:tc>
        <w:tc>
          <w:tcPr>
            <w:tcW w:type="dxa" w:w="1750"/>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Header-derived features</w:t>
            </w:r>
          </w:p>
        </w:tc>
        <w:tc>
          <w:tcPr>
            <w:tcW w:type="dxa" w:w="1900"/>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Full message body / URLs</w:t>
            </w:r>
          </w:p>
        </w:tc>
        <w:tc>
          <w:tcPr>
            <w:tcW w:type="dxa" w:w="2000"/>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Headers, routing, auth. only</w:t>
            </w:r>
          </w:p>
        </w:tc>
      </w:tr>
      <w:tr>
        <w:trPr>
          <w:cantSplit/>
        </w:trPr>
        <w:tc>
          <w:tcPr>
            <w:tcW w:type="dxa" w:w="1500"/>
            <w:shd w:fill="F2F2F2" w:val="clear"/>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Reported accuracy / F1</w:t>
            </w:r>
          </w:p>
        </w:tc>
        <w:tc>
          <w:tcPr>
            <w:tcW w:type="dxa" w:w="2000"/>
            <w:shd w:fill="F2F2F2" w:val="clear"/>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~95%+ detection claimed by vendor/community guidance (not independently verified)</w:t>
            </w:r>
          </w:p>
        </w:tc>
        <w:tc>
          <w:tcPr>
            <w:tcW w:type="dxa" w:w="1750"/>
            <w:shd w:fill="F2F2F2" w:val="clear"/>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93–96% on balanced sets [7]</w:t>
            </w:r>
          </w:p>
        </w:tc>
        <w:tc>
          <w:tcPr>
            <w:tcW w:type="dxa" w:w="1900"/>
            <w:shd w:fill="F2F2F2" w:val="clear"/>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High but inconsistently benchmarked across studies [11],[16]</w:t>
            </w:r>
          </w:p>
        </w:tc>
        <w:tc>
          <w:tcPr>
            <w:tcW w:type="dxa" w:w="2000"/>
            <w:shd w:fill="F2F2F2" w:val="clear"/>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Single-class escalation rate 98.7% (§V-B); balanced-corpus F1 pending (§V-F)</w:t>
            </w:r>
          </w:p>
        </w:tc>
      </w:tr>
      <w:tr>
        <w:trPr>
          <w:cantSplit/>
        </w:trPr>
        <w:tc>
          <w:tcPr>
            <w:tcW w:type="dxa" w:w="1500"/>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False positive rate (FPR)</w:t>
            </w:r>
          </w:p>
        </w:tc>
        <w:tc>
          <w:tcPr>
            <w:tcW w:type="dxa" w:w="2000"/>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&lt;1% typically claimed under tuned thresholds (not independently verified)</w:t>
            </w:r>
          </w:p>
        </w:tc>
        <w:tc>
          <w:tcPr>
            <w:tcW w:type="dxa" w:w="1750"/>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Not consistently reported across surveys</w:t>
            </w:r>
          </w:p>
        </w:tc>
        <w:tc>
          <w:tcPr>
            <w:tcW w:type="dxa" w:w="1900"/>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Not consistently reported across studies</w:t>
            </w:r>
          </w:p>
        </w:tc>
        <w:tc>
          <w:tcPr>
            <w:tcW w:type="dxa" w:w="2000"/>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Pending balanced-corpus validation (§V-F)</w:t>
            </w:r>
          </w:p>
        </w:tc>
      </w:tr>
      <w:tr>
        <w:trPr>
          <w:cantSplit/>
        </w:trPr>
        <w:tc>
          <w:tcPr>
            <w:tcW w:type="dxa" w:w="1500"/>
            <w:shd w:fill="F2F2F2" w:val="clear"/>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Throughput (msg/s)</w:t>
            </w:r>
          </w:p>
        </w:tc>
        <w:tc>
          <w:tcPr>
            <w:tcW w:type="dxa" w:w="2000"/>
            <w:shd w:fill="F2F2F2" w:val="clear"/>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High; rule evaluation is sub-ms/msg (not measured in this study)</w:t>
            </w:r>
          </w:p>
        </w:tc>
        <w:tc>
          <w:tcPr>
            <w:tcW w:type="dxa" w:w="1750"/>
            <w:shd w:fill="F2F2F2" w:val="clear"/>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High; comparable order to Sentinel (classical-ML inference)</w:t>
            </w:r>
          </w:p>
        </w:tc>
        <w:tc>
          <w:tcPr>
            <w:tcW w:type="dxa" w:w="1900"/>
            <w:shd w:fill="F2F2F2" w:val="clear"/>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Low; bounded by LLM API round-trip, typically ~1–3 s/call</w:t>
            </w:r>
          </w:p>
        </w:tc>
        <w:tc>
          <w:tcPr>
            <w:tcW w:type="dxa" w:w="2000"/>
            <w:shd w:fill="F2F2F2" w:val="clear"/>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16.1 msg/s measured, 20 workers (Table I); 50–200 msg/s projected for direct-call deployment</w:t>
            </w:r>
          </w:p>
        </w:tc>
      </w:tr>
      <w:tr>
        <w:trPr>
          <w:cantSplit/>
        </w:trPr>
        <w:tc>
          <w:tcPr>
            <w:tcW w:type="dxa" w:w="1500"/>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GDPR / privilege posture</w:t>
            </w:r>
          </w:p>
        </w:tc>
        <w:tc>
          <w:tcPr>
            <w:tcW w:type="dxa" w:w="2000"/>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Processes personal content</w:t>
            </w:r>
          </w:p>
        </w:tc>
        <w:tc>
          <w:tcPr>
            <w:tcW w:type="dxa" w:w="1750"/>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Processes personal content</w:t>
            </w:r>
          </w:p>
        </w:tc>
        <w:tc>
          <w:tcPr>
            <w:tcW w:type="dxa" w:w="1900"/>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Processes personal content</w:t>
            </w:r>
          </w:p>
        </w:tc>
        <w:tc>
          <w:tcPr>
            <w:tcW w:type="dxa" w:w="2000"/>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No content ever read or stored</w:t>
            </w:r>
          </w:p>
        </w:tc>
      </w:tr>
      <w:tr>
        <w:trPr>
          <w:cantSplit/>
        </w:trPr>
        <w:tc>
          <w:tcPr>
            <w:tcW w:type="dxa" w:w="1500"/>
            <w:shd w:fill="F2F2F2" w:val="clear"/>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Coordinated-campaign view</w:t>
            </w:r>
          </w:p>
        </w:tc>
        <w:tc>
          <w:tcPr>
            <w:tcW w:type="dxa" w:w="2000"/>
            <w:shd w:fill="F2F2F2" w:val="clear"/>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Per-message only</w:t>
            </w:r>
          </w:p>
        </w:tc>
        <w:tc>
          <w:tcPr>
            <w:tcW w:type="dxa" w:w="1750"/>
            <w:shd w:fill="F2F2F2" w:val="clear"/>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Per-message only</w:t>
            </w:r>
          </w:p>
        </w:tc>
        <w:tc>
          <w:tcPr>
            <w:tcW w:type="dxa" w:w="1900"/>
            <w:shd w:fill="F2F2F2" w:val="clear"/>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Per-message only (typical)</w:t>
            </w:r>
          </w:p>
        </w:tc>
        <w:tc>
          <w:tcPr>
            <w:tcW w:type="dxa" w:w="2000"/>
            <w:shd w:fill="F2F2F2" w:val="clear"/>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Graph correlation across senders</w:t>
            </w:r>
          </w:p>
        </w:tc>
      </w:tr>
      <w:tr>
        <w:trPr>
          <w:cantSplit/>
        </w:trPr>
        <w:tc>
          <w:tcPr>
            <w:tcW w:type="dxa" w:w="1500"/>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Policy adaptation</w:t>
            </w:r>
          </w:p>
        </w:tc>
        <w:tc>
          <w:tcPr>
            <w:tcW w:type="dxa" w:w="2000"/>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Manual rule/threshold tuning</w:t>
            </w:r>
          </w:p>
        </w:tc>
        <w:tc>
          <w:tcPr>
            <w:tcW w:type="dxa" w:w="1750"/>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Requires retraining/redeploy</w:t>
            </w:r>
          </w:p>
        </w:tc>
        <w:tc>
          <w:tcPr>
            <w:tcW w:type="dxa" w:w="1900"/>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Requires prompt/model update</w:t>
            </w:r>
          </w:p>
        </w:tc>
        <w:tc>
          <w:tcPr>
            <w:tcW w:type="dxa" w:w="2000"/>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Autonomous, audited self-healing</w:t>
            </w:r>
          </w:p>
        </w:tc>
      </w:tr>
      <w:tr>
        <w:trPr>
          <w:cantSplit/>
        </w:trPr>
        <w:tc>
          <w:tcPr>
            <w:tcW w:type="dxa" w:w="1500"/>
            <w:shd w:fill="F2F2F2" w:val="clear"/>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Attacker attribution</w:t>
            </w:r>
          </w:p>
        </w:tc>
        <w:tc>
          <w:tcPr>
            <w:tcW w:type="dxa" w:w="2000"/>
            <w:shd w:fill="F2F2F2" w:val="clear"/>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Not addressed</w:t>
            </w:r>
          </w:p>
        </w:tc>
        <w:tc>
          <w:tcPr>
            <w:tcW w:type="dxa" w:w="1750"/>
            <w:shd w:fill="F2F2F2" w:val="clear"/>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Not typically addressed</w:t>
            </w:r>
          </w:p>
        </w:tc>
        <w:tc>
          <w:tcPr>
            <w:tcW w:type="dxa" w:w="1900"/>
            <w:shd w:fill="F2F2F2" w:val="clear"/>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Not typically addressed</w:t>
            </w:r>
          </w:p>
        </w:tc>
        <w:tc>
          <w:tcPr>
            <w:tcW w:type="dxa" w:w="2000"/>
            <w:shd w:fill="F2F2F2" w:val="clear"/>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8-signal Bayesian fusion</w:t>
            </w:r>
          </w:p>
        </w:tc>
      </w:tr>
    </w:tbl>
    <w:p>
      <w:pPr>
        <w:spacing w:after="160"/>
      </w:pPr>
    </w:p>
    <w:p>
      <w:pPr>
        <w:sectPr>
          <w:type w:val="continuous"/>
          <w:pgSz w:w="12240" w:h="15840" w:orient="portrait"/>
          <w:pgMar w:top="1080" w:right="1080" w:bottom="1080" w:left="1080" w:header="708" w:footer="708" w:gutter="0"/>
          <w:pgNumType/>
          <w:cols w:num="1"/>
          <w:docGrid w:linePitch="360"/>
        </w:sectPr>
      </w:pPr>
    </w:p>
    <w:p>
      <w:pPr>
        <w:keepNext w:val="false"/>
        <w:spacing w:after="120" w:before="0" w:line="252" w:lineRule="auto"/>
        <w:ind w:firstLine="240"/>
        <w:jc w:val="both"/>
      </w:pPr>
      <w:r>
        <w:rPr>
          <w:rFonts w:ascii="Times New Roman" w:cs="Times New Roman" w:eastAsia="Times New Roman" w:hAnsi="Times New Roman"/>
          <w:b w:val="false"/>
          <w:bCs w:val="false"/>
          <w:i w:val="false"/>
          <w:iCs w:val="false"/>
          <w:sz w:val="20"/>
          <w:szCs w:val="20"/>
        </w:rPr>
        <w:t xml:space="preserve">Table III situates Sentinel against three representative baseline classes: SpamAssassin (a mature rule/Bayesian content filter), a header-only Random Forest classifier of the kind reported in recent phishing-detection surveys [7], and an LLM-based (GPT-4-class) content classifier [11], [16]. We report figures for the baselines only where they are traceable to a specific source, and mark vendor-claimed figures as such rather than presenting them as independently verified; where a comparable figure for Sentinel does not yet exist, the cell says so explicitly (§V-F) rather than being left blank or filled with an estimate. Two patterns are nonetheless clear from the dimensions that do not require a shared accuracy metric to compare. First, on throughput, an LLM-based classifier is bounded by API round-trip latency (typically on the order of one to a few seconds per call), while Sentinel's measured 16.1 messages/second — and projected 50–200 messages/second in a direct-call deployment — is one to three orders of magnitude faster, because Phase 4 falls back to deterministic rules and Phases 1–3, 5, and 6 never invoke a model at all. Second, none of the three baselines correlate messages into campaigns, adapt their own policy autonomously, or attribute likely attacker geography; these are structural properties of Sentinel's architecture rather than incremental accuracy gains, and they hold regardless of how the balanced-corpus accuracy comparison in Section V-F eventually resolves.</w:t>
      </w:r>
    </w:p>
    <w:p>
      <w:pPr>
        <w:keepNext/>
        <w:spacing w:after="80" w:before="160"/>
      </w:pPr>
      <w:r>
        <w:rPr>
          <w:rFonts w:ascii="Times New Roman" w:cs="Times New Roman" w:eastAsia="Times New Roman" w:hAnsi="Times New Roman"/>
          <w:b/>
          <w:bCs/>
          <w:i/>
          <w:iCs/>
          <w:sz w:val="20"/>
          <w:szCs w:val="20"/>
        </w:rPr>
        <w:t xml:space="preserve">E. Limitations</w:t>
      </w:r>
    </w:p>
    <w:p>
      <w:pPr>
        <w:spacing w:after="160" w:before="40"/>
        <w:jc w:val="center"/>
      </w:pPr>
      <w:r>
        <w:rPr>
          <w:rFonts w:ascii="Times New Roman" w:cs="Times New Roman" w:eastAsia="Times New Roman" w:hAnsi="Times New Roman"/>
          <w:i w:val="false"/>
          <w:iCs w:val="false"/>
          <w:sz w:val="16"/>
          <w:szCs w:val="16"/>
        </w:rPr>
        <w:t xml:space="preserve">Table IV.  Current limitations identified during evaluation and their planned mitigations.</w:t>
      </w:r>
    </w:p>
    <w:tbl>
      <w:tblPr>
        <w:tblW w:type="dxa" w:w="4930"/>
        <w:tblBorders>
          <w:top w:val="single" w:color="auto" w:sz="4"/>
          <w:left w:val="single" w:color="auto" w:sz="4"/>
          <w:bottom w:val="single" w:color="auto" w:sz="4"/>
          <w:right w:val="single" w:color="auto" w:sz="4"/>
          <w:insideH w:val="single" w:color="auto" w:sz="4"/>
          <w:insideV w:val="single" w:color="auto" w:sz="4"/>
        </w:tblBorders>
      </w:tblPr>
      <w:tblGrid>
        <w:gridCol w:w="520"/>
        <w:gridCol w:w="1550"/>
        <w:gridCol w:w="1450"/>
        <w:gridCol w:w="1410"/>
      </w:tblGrid>
      <w:tr>
        <w:trPr>
          <w:cantSplit/>
          <w:tblHeader/>
        </w:trPr>
        <w:tc>
          <w:tcPr>
            <w:tcW w:type="dxa" w:w="520"/>
            <w:shd w:fill="1F1F1F" w:val="clear"/>
            <w:tcMar>
              <w:top w:type="dxa" w:w="50"/>
              <w:left w:type="dxa" w:w="60"/>
              <w:bottom w:type="dxa" w:w="50"/>
              <w:right w:type="dxa" w:w="60"/>
            </w:tcMar>
          </w:tcPr>
          <w:p>
            <w:pPr>
              <w:jc w:val="center"/>
            </w:pPr>
            <w:r>
              <w:rPr>
                <w:rFonts w:ascii="Times New Roman" w:cs="Times New Roman" w:eastAsia="Times New Roman" w:hAnsi="Times New Roman"/>
                <w:b/>
                <w:bCs/>
                <w:color w:val="FFFFFF"/>
                <w:sz w:val="15"/>
                <w:szCs w:val="15"/>
              </w:rPr>
              <w:t xml:space="preserve">#</w:t>
            </w:r>
          </w:p>
        </w:tc>
        <w:tc>
          <w:tcPr>
            <w:tcW w:type="dxa" w:w="1550"/>
            <w:shd w:fill="1F1F1F" w:val="clear"/>
            <w:tcMar>
              <w:top w:type="dxa" w:w="50"/>
              <w:left w:type="dxa" w:w="60"/>
              <w:bottom w:type="dxa" w:w="50"/>
              <w:right w:type="dxa" w:w="60"/>
            </w:tcMar>
          </w:tcPr>
          <w:p>
            <w:pPr>
              <w:jc w:val="center"/>
            </w:pPr>
            <w:r>
              <w:rPr>
                <w:rFonts w:ascii="Times New Roman" w:cs="Times New Roman" w:eastAsia="Times New Roman" w:hAnsi="Times New Roman"/>
                <w:b/>
                <w:bCs/>
                <w:color w:val="FFFFFF"/>
                <w:sz w:val="15"/>
                <w:szCs w:val="15"/>
              </w:rPr>
              <w:t xml:space="preserve">Limitation</w:t>
            </w:r>
          </w:p>
        </w:tc>
        <w:tc>
          <w:tcPr>
            <w:tcW w:type="dxa" w:w="1450"/>
            <w:shd w:fill="1F1F1F" w:val="clear"/>
            <w:tcMar>
              <w:top w:type="dxa" w:w="50"/>
              <w:left w:type="dxa" w:w="60"/>
              <w:bottom w:type="dxa" w:w="50"/>
              <w:right w:type="dxa" w:w="60"/>
            </w:tcMar>
          </w:tcPr>
          <w:p>
            <w:pPr>
              <w:jc w:val="center"/>
            </w:pPr>
            <w:r>
              <w:rPr>
                <w:rFonts w:ascii="Times New Roman" w:cs="Times New Roman" w:eastAsia="Times New Roman" w:hAnsi="Times New Roman"/>
                <w:b/>
                <w:bCs/>
                <w:color w:val="FFFFFF"/>
                <w:sz w:val="15"/>
                <w:szCs w:val="15"/>
              </w:rPr>
              <w:t xml:space="preserve">Impact</w:t>
            </w:r>
          </w:p>
        </w:tc>
        <w:tc>
          <w:tcPr>
            <w:tcW w:type="dxa" w:w="1410"/>
            <w:shd w:fill="1F1F1F" w:val="clear"/>
            <w:tcMar>
              <w:top w:type="dxa" w:w="50"/>
              <w:left w:type="dxa" w:w="60"/>
              <w:bottom w:type="dxa" w:w="50"/>
              <w:right w:type="dxa" w:w="60"/>
            </w:tcMar>
          </w:tcPr>
          <w:p>
            <w:pPr>
              <w:jc w:val="center"/>
            </w:pPr>
            <w:r>
              <w:rPr>
                <w:rFonts w:ascii="Times New Roman" w:cs="Times New Roman" w:eastAsia="Times New Roman" w:hAnsi="Times New Roman"/>
                <w:b/>
                <w:bCs/>
                <w:color w:val="FFFFFF"/>
                <w:sz w:val="15"/>
                <w:szCs w:val="15"/>
              </w:rPr>
              <w:t xml:space="preserve">Mitigation planned</w:t>
            </w:r>
          </w:p>
        </w:tc>
      </w:tr>
      <w:tr>
        <w:trPr>
          <w:cantSplit/>
        </w:trPr>
        <w:tc>
          <w:tcPr>
            <w:tcW w:type="dxa" w:w="520"/>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1</w:t>
            </w:r>
          </w:p>
        </w:tc>
        <w:tc>
          <w:tcPr>
            <w:tcW w:type="dxa" w:w="1550"/>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Cold-start for new senders</w:t>
            </w:r>
          </w:p>
        </w:tc>
        <w:tc>
          <w:tcPr>
            <w:tcW w:type="dxa" w:w="1450"/>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Reduced-confidence scores for first ~20 emails</w:t>
            </w:r>
          </w:p>
        </w:tc>
        <w:tc>
          <w:tcPr>
            <w:tcW w:type="dxa" w:w="1410"/>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Federated twin pre-seeding</w:t>
            </w:r>
          </w:p>
        </w:tc>
      </w:tr>
      <w:tr>
        <w:trPr>
          <w:cantSplit/>
        </w:trPr>
        <w:tc>
          <w:tcPr>
            <w:tcW w:type="dxa" w:w="520"/>
            <w:shd w:fill="F2F2F2" w:val="clear"/>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2</w:t>
            </w:r>
          </w:p>
        </w:tc>
        <w:tc>
          <w:tcPr>
            <w:tcW w:type="dxa" w:w="1550"/>
            <w:shd w:fill="F2F2F2" w:val="clear"/>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9.47% parser failure rate</w:t>
            </w:r>
          </w:p>
        </w:tc>
        <w:tc>
          <w:tcPr>
            <w:tcW w:type="dxa" w:w="1450"/>
            <w:shd w:fill="F2F2F2" w:val="clear"/>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Malformed/unusual MIME breaks header parsing</w:t>
            </w:r>
          </w:p>
        </w:tc>
        <w:tc>
          <w:tcPr>
            <w:tcW w:type="dxa" w:w="1410"/>
            <w:shd w:fill="F2F2F2" w:val="clear"/>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Fallback chardet + regex parser</w:t>
            </w:r>
          </w:p>
        </w:tc>
      </w:tr>
      <w:tr>
        <w:trPr>
          <w:cantSplit/>
        </w:trPr>
        <w:tc>
          <w:tcPr>
            <w:tcW w:type="dxa" w:w="520"/>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3</w:t>
            </w:r>
          </w:p>
        </w:tc>
        <w:tc>
          <w:tcPr>
            <w:tcW w:type="dxa" w:w="1550"/>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No LLM by default</w:t>
            </w:r>
          </w:p>
        </w:tc>
        <w:tc>
          <w:tcPr>
            <w:tcW w:type="dxa" w:w="1450"/>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Rule fallback is effective but less nuanced</w:t>
            </w:r>
          </w:p>
        </w:tc>
        <w:tc>
          <w:tcPr>
            <w:tcW w:type="dxa" w:w="1410"/>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Optional local fine-tuned model</w:t>
            </w:r>
          </w:p>
        </w:tc>
      </w:tr>
      <w:tr>
        <w:trPr>
          <w:cantSplit/>
        </w:trPr>
        <w:tc>
          <w:tcPr>
            <w:tcW w:type="dxa" w:w="520"/>
            <w:shd w:fill="F2F2F2" w:val="clear"/>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4</w:t>
            </w:r>
          </w:p>
        </w:tc>
        <w:tc>
          <w:tcPr>
            <w:tcW w:type="dxa" w:w="1550"/>
            <w:shd w:fill="F2F2F2" w:val="clear"/>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In-memory state</w:t>
            </w:r>
          </w:p>
        </w:tc>
        <w:tc>
          <w:tcPr>
            <w:tcW w:type="dxa" w:w="1450"/>
            <w:shd w:fill="F2F2F2" w:val="clear"/>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State lost on restart</w:t>
            </w:r>
          </w:p>
        </w:tc>
        <w:tc>
          <w:tcPr>
            <w:tcW w:type="dxa" w:w="1410"/>
            <w:shd w:fill="F2F2F2" w:val="clear"/>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MongoDB persistence (designed, not active)</w:t>
            </w:r>
          </w:p>
        </w:tc>
      </w:tr>
      <w:tr>
        <w:trPr>
          <w:cantSplit/>
        </w:trPr>
        <w:tc>
          <w:tcPr>
            <w:tcW w:type="dxa" w:w="520"/>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5</w:t>
            </w:r>
          </w:p>
        </w:tc>
        <w:tc>
          <w:tcPr>
            <w:tcW w:type="dxa" w:w="1550"/>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No analyst feedback loop</w:t>
            </w:r>
          </w:p>
        </w:tc>
        <w:tc>
          <w:tcPr>
            <w:tcW w:type="dxa" w:w="1450"/>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Corrections not learned</w:t>
            </w:r>
          </w:p>
        </w:tc>
        <w:tc>
          <w:tcPr>
            <w:tcW w:type="dxa" w:w="1410"/>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Active-learning confirm/reject UI</w:t>
            </w:r>
          </w:p>
        </w:tc>
      </w:tr>
    </w:tbl>
    <w:p>
      <w:pPr>
        <w:spacing w:after="160"/>
      </w:pPr>
    </w:p>
    <w:p>
      <w:pPr>
        <w:keepNext w:val="false"/>
        <w:spacing w:after="120" w:before="0" w:line="252" w:lineRule="auto"/>
        <w:jc w:val="both"/>
      </w:pPr>
      <w:r>
        <w:rPr>
          <w:rFonts w:ascii="Times New Roman" w:cs="Times New Roman" w:eastAsia="Times New Roman" w:hAnsi="Times New Roman"/>
          <w:b w:val="false"/>
          <w:bCs w:val="false"/>
          <w:i w:val="false"/>
          <w:iCs w:val="false"/>
          <w:sz w:val="20"/>
          <w:szCs w:val="20"/>
        </w:rPr>
        <w:t xml:space="preserve">Table IV summarizes the limitations this evaluation surfaced. The most consequential for near-term deployment is parser coverage: 9.47% of the corpus produced HTTP 500 errors, and inspection of the failures shows they concentrate in messages using non-standard or malformed MIME encodings rather than being spread uniformly across the corpus — a solvable engineering problem rather than a fundamental limitation of the metadata-only approach. We are addressing it directly: an adaptive parser combining chardet-based encoding detection with a regex-based fallback header extractor (Section VI) is designed to bring this failure rate below 2%; until that parser is implemented and re-evaluated on the same corpus, however, 9.47% remains the measured figure and we do not report the target as an achieved result. The 20-email cold-start period for a new sender's Digital Twin is a second structural limitation common to any behavioral-baseline approach, though the Bayesian smoothing in the IP sub-score is designed specifically to reduce false positives during this window rather than eliminate it. Finally, the in-memory deployment used for this run does not persist state across restarts; the MongoDB integration required to fix this is designed but was not active during evaluation.</w:t>
      </w:r>
    </w:p>
    <w:p>
      <w:pPr>
        <w:keepNext/>
        <w:spacing w:after="80" w:before="160"/>
      </w:pPr>
      <w:r>
        <w:rPr>
          <w:rFonts w:ascii="Times New Roman" w:cs="Times New Roman" w:eastAsia="Times New Roman" w:hAnsi="Times New Roman"/>
          <w:b/>
          <w:bCs/>
          <w:i/>
          <w:iCs/>
          <w:sz w:val="20"/>
          <w:szCs w:val="20"/>
        </w:rPr>
        <w:t xml:space="preserve">F. Toward Balanced-Corpus Detection Accuracy</w:t>
      </w:r>
    </w:p>
    <w:p>
      <w:pPr>
        <w:keepNext w:val="false"/>
        <w:spacing w:after="120" w:before="0" w:line="252" w:lineRule="auto"/>
        <w:jc w:val="both"/>
      </w:pPr>
      <w:r>
        <w:rPr>
          <w:rFonts w:ascii="Times New Roman" w:cs="Times New Roman" w:eastAsia="Times New Roman" w:hAnsi="Times New Roman"/>
          <w:b w:val="false"/>
          <w:bCs w:val="false"/>
          <w:i w:val="false"/>
          <w:iCs w:val="false"/>
          <w:sz w:val="20"/>
          <w:szCs w:val="20"/>
        </w:rPr>
        <w:t xml:space="preserve">Sections V-A through V-D report throughput, action distribution, and campaign correlation on a single-class (phishing-only) corpus, which is sufficient to characterize operational behavior but not to report precision, recall, F1, or false-positive rate — each of these requires a ground-truth-labeled set that includes confirmed-legitimate mail. We specify, but have not yet executed, a protocol to close this gap: combine header-only extracts from the public SpamAssassin corpus [17] as the legitimate ("ham") baseline with the EPVME phishing folder used in Sections V-A–V-C, run the identical Phase 1–4 pipeline over the mixed set, and score Sentinel's four-way action output against ground truth — collapsing ALLOW to a "legitimate" prediction and REVIEW/ALERT/QUARANTINE to a "malicious" prediction for a standard binary confusion matrix, with a graded scoring variant reported alongside it to reflect that REVIEW is a human-in-the-loop escalation rather than a hard block.</w:t>
      </w:r>
    </w:p>
    <w:p>
      <w:pPr>
        <w:spacing w:after="160" w:before="40"/>
        <w:jc w:val="center"/>
      </w:pPr>
      <w:r>
        <w:rPr>
          <w:rFonts w:ascii="Times New Roman" w:cs="Times New Roman" w:eastAsia="Times New Roman" w:hAnsi="Times New Roman"/>
          <w:i w:val="false"/>
          <w:iCs w:val="false"/>
          <w:sz w:val="16"/>
          <w:szCs w:val="16"/>
        </w:rPr>
        <w:t xml:space="preserve">Table VI.  Balanced-corpus classification metrics specified for the protocol in Section V-F. No values are reported: this table documents what will be measured, not a result.</w:t>
      </w:r>
    </w:p>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1250"/>
        <w:gridCol w:w="1450"/>
        <w:gridCol w:w="1800"/>
      </w:tblGrid>
      <w:tr>
        <w:trPr>
          <w:cantSplit/>
          <w:tblHeader/>
        </w:trPr>
        <w:tc>
          <w:tcPr>
            <w:tcW w:type="dxa" w:w="1250"/>
            <w:shd w:fill="1F1F1F" w:val="clear"/>
            <w:tcMar>
              <w:top w:type="dxa" w:w="50"/>
              <w:left w:type="dxa" w:w="60"/>
              <w:bottom w:type="dxa" w:w="50"/>
              <w:right w:type="dxa" w:w="60"/>
            </w:tcMar>
          </w:tcPr>
          <w:p>
            <w:pPr>
              <w:jc w:val="center"/>
            </w:pPr>
            <w:r>
              <w:rPr>
                <w:rFonts w:ascii="Times New Roman" w:cs="Times New Roman" w:eastAsia="Times New Roman" w:hAnsi="Times New Roman"/>
                <w:b/>
                <w:bCs/>
                <w:color w:val="FFFFFF"/>
                <w:sz w:val="15"/>
                <w:szCs w:val="15"/>
              </w:rPr>
              <w:t xml:space="preserve">Metric</w:t>
            </w:r>
          </w:p>
        </w:tc>
        <w:tc>
          <w:tcPr>
            <w:tcW w:type="dxa" w:w="1450"/>
            <w:shd w:fill="1F1F1F" w:val="clear"/>
            <w:tcMar>
              <w:top w:type="dxa" w:w="50"/>
              <w:left w:type="dxa" w:w="60"/>
              <w:bottom w:type="dxa" w:w="50"/>
              <w:right w:type="dxa" w:w="60"/>
            </w:tcMar>
          </w:tcPr>
          <w:p>
            <w:pPr>
              <w:jc w:val="center"/>
            </w:pPr>
            <w:r>
              <w:rPr>
                <w:rFonts w:ascii="Times New Roman" w:cs="Times New Roman" w:eastAsia="Times New Roman" w:hAnsi="Times New Roman"/>
                <w:b/>
                <w:bCs/>
                <w:color w:val="FFFFFF"/>
                <w:sz w:val="15"/>
                <w:szCs w:val="15"/>
              </w:rPr>
              <w:t xml:space="preserve">Definition</w:t>
            </w:r>
          </w:p>
        </w:tc>
        <w:tc>
          <w:tcPr>
            <w:tcW w:type="dxa" w:w="1800"/>
            <w:shd w:fill="1F1F1F" w:val="clear"/>
            <w:tcMar>
              <w:top w:type="dxa" w:w="50"/>
              <w:left w:type="dxa" w:w="60"/>
              <w:bottom w:type="dxa" w:w="50"/>
              <w:right w:type="dxa" w:w="60"/>
            </w:tcMar>
          </w:tcPr>
          <w:p>
            <w:pPr>
              <w:jc w:val="center"/>
            </w:pPr>
            <w:r>
              <w:rPr>
                <w:rFonts w:ascii="Times New Roman" w:cs="Times New Roman" w:eastAsia="Times New Roman" w:hAnsi="Times New Roman"/>
                <w:b/>
                <w:bCs/>
                <w:color w:val="FFFFFF"/>
                <w:sz w:val="15"/>
                <w:szCs w:val="15"/>
              </w:rPr>
              <w:t xml:space="preserve">Status</w:t>
            </w:r>
          </w:p>
        </w:tc>
      </w:tr>
      <w:tr>
        <w:trPr>
          <w:cantSplit/>
        </w:trPr>
        <w:tc>
          <w:tcPr>
            <w:tcW w:type="dxa" w:w="1250"/>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Precision</w:t>
            </w:r>
          </w:p>
        </w:tc>
        <w:tc>
          <w:tcPr>
            <w:tcW w:type="dxa" w:w="1450"/>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TP/(TP+FP)</w:t>
            </w:r>
          </w:p>
        </w:tc>
        <w:tc>
          <w:tcPr>
            <w:tcW w:type="dxa" w:w="1800"/>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Not yet measured</w:t>
            </w:r>
          </w:p>
        </w:tc>
      </w:tr>
      <w:tr>
        <w:trPr>
          <w:cantSplit/>
        </w:trPr>
        <w:tc>
          <w:tcPr>
            <w:tcW w:type="dxa" w:w="1250"/>
            <w:shd w:fill="F2F2F2" w:val="clear"/>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Recall</w:t>
            </w:r>
          </w:p>
        </w:tc>
        <w:tc>
          <w:tcPr>
            <w:tcW w:type="dxa" w:w="1450"/>
            <w:shd w:fill="F2F2F2" w:val="clear"/>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TP/(TP+FN)</w:t>
            </w:r>
          </w:p>
        </w:tc>
        <w:tc>
          <w:tcPr>
            <w:tcW w:type="dxa" w:w="1800"/>
            <w:shd w:fill="F2F2F2" w:val="clear"/>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Not yet measured</w:t>
            </w:r>
          </w:p>
        </w:tc>
      </w:tr>
      <w:tr>
        <w:trPr>
          <w:cantSplit/>
        </w:trPr>
        <w:tc>
          <w:tcPr>
            <w:tcW w:type="dxa" w:w="1250"/>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F1-score</w:t>
            </w:r>
          </w:p>
        </w:tc>
        <w:tc>
          <w:tcPr>
            <w:tcW w:type="dxa" w:w="1450"/>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Harm. mean P,R</w:t>
            </w:r>
          </w:p>
        </w:tc>
        <w:tc>
          <w:tcPr>
            <w:tcW w:type="dxa" w:w="1800"/>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Not yet measured</w:t>
            </w:r>
          </w:p>
        </w:tc>
      </w:tr>
      <w:tr>
        <w:trPr>
          <w:cantSplit/>
        </w:trPr>
        <w:tc>
          <w:tcPr>
            <w:tcW w:type="dxa" w:w="1250"/>
            <w:shd w:fill="F2F2F2" w:val="clear"/>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FPR</w:t>
            </w:r>
          </w:p>
        </w:tc>
        <w:tc>
          <w:tcPr>
            <w:tcW w:type="dxa" w:w="1450"/>
            <w:shd w:fill="F2F2F2" w:val="clear"/>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FP/(FP+TN)</w:t>
            </w:r>
          </w:p>
        </w:tc>
        <w:tc>
          <w:tcPr>
            <w:tcW w:type="dxa" w:w="1800"/>
            <w:shd w:fill="F2F2F2" w:val="clear"/>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Not yet measured</w:t>
            </w:r>
          </w:p>
        </w:tc>
      </w:tr>
    </w:tbl>
    <w:p>
      <w:pPr>
        <w:spacing w:after="160"/>
      </w:pPr>
    </w:p>
    <w:p>
      <w:pPr>
        <w:keepNext w:val="false"/>
        <w:spacing w:after="120" w:before="0" w:line="252" w:lineRule="auto"/>
        <w:ind w:firstLine="240"/>
        <w:jc w:val="both"/>
      </w:pPr>
      <w:r>
        <w:rPr>
          <w:rFonts w:ascii="Times New Roman" w:cs="Times New Roman" w:eastAsia="Times New Roman" w:hAnsi="Times New Roman"/>
          <w:b w:val="false"/>
          <w:bCs w:val="false"/>
          <w:i w:val="false"/>
          <w:iCs w:val="false"/>
          <w:sz w:val="20"/>
          <w:szCs w:val="20"/>
        </w:rPr>
        <w:t xml:space="preserve">We report Table VI as a specification rather than a result: every cell reads "not yet measured." We take this position deliberately rather than publishing plausible-looking placeholder figures, because a number presented in a results table — even one qualified in prose as illustrative — risks being read, cited, or reused as an empirical finding. Executing this protocol and replacing Table VI with measured values is the single highest-priority next step for establishing Sentinel's detection accuracy in the conventional classification sense, and we treat it as a precondition for any accuracy claim beyond the operational results already reported.</w:t>
      </w:r>
    </w:p>
    <w:p>
      <w:pPr>
        <w:keepNext/>
        <w:spacing w:after="80" w:before="160"/>
      </w:pPr>
      <w:r>
        <w:rPr>
          <w:rFonts w:ascii="Times New Roman" w:cs="Times New Roman" w:eastAsia="Times New Roman" w:hAnsi="Times New Roman"/>
          <w:b/>
          <w:bCs/>
          <w:i/>
          <w:iCs/>
          <w:sz w:val="20"/>
          <w:szCs w:val="20"/>
        </w:rPr>
        <w:t xml:space="preserve">G. Self-Healing Behavior: A Worked Example</w:t>
      </w:r>
    </w:p>
    <w:p>
      <w:pPr>
        <w:keepNext w:val="false"/>
        <w:spacing w:after="120" w:before="0" w:line="252" w:lineRule="auto"/>
        <w:jc w:val="both"/>
      </w:pPr>
      <w:r>
        <w:rPr>
          <w:rFonts w:ascii="Times New Roman" w:cs="Times New Roman" w:eastAsia="Times New Roman" w:hAnsi="Times New Roman"/>
          <w:b w:val="false"/>
          <w:bCs w:val="false"/>
          <w:i w:val="false"/>
          <w:iCs w:val="false"/>
          <w:sz w:val="20"/>
          <w:szCs w:val="20"/>
        </w:rPr>
        <w:t xml:space="preserve">Because the bulk-run corpus in Sections V-A–V-C never produced a risk score at or above the 75-point CRITICAL threshold (Table II), the self-healing engine's auto-blocklisting behavior was not exercised organically during that run. To illustrate the mechanism concretely, we trace it symbolically against the rules documented in Sections III-F and III-H rather than reporting a timed benchmark. Consider a synthetic high-risk BEC-style email with a Detection Agent score of 90 and a Digital Twin anomaly score of 0.80. The Risk Scoring Agent computes risk = 0.6 × 90 + 0.4 × (0.80 × 100) = 54 + 32 = 86, which exceeds the 75-point CRITICAL threshold and maps to QUARANTINE. This single event simultaneously satisfies two independent Phase-6 trigger conditions: risk_score ≥ 75 (blocklist the sender domain and originating IP) and anomaly_score &gt; 0.70 (lower the global anomaly threshold by 0.05). Table V shows the resulting policy-state transition.</w:t>
      </w:r>
    </w:p>
    <w:p>
      <w:pPr>
        <w:spacing w:after="160" w:before="40"/>
        <w:jc w:val="center"/>
      </w:pPr>
      <w:r>
        <w:rPr>
          <w:rFonts w:ascii="Times New Roman" w:cs="Times New Roman" w:eastAsia="Times New Roman" w:hAnsi="Times New Roman"/>
          <w:i w:val="false"/>
          <w:iCs w:val="false"/>
          <w:sz w:val="16"/>
          <w:szCs w:val="16"/>
        </w:rPr>
        <w:t xml:space="preserve">Table V.  Worked example: policy state immediately before and after a single CRITICAL-risk trigger, computed from the documented Phase-4/Phase-6 rules (III-F, III-H) — not a timed empirical run. The blocked domain/IP are illustrative placeholders; the twin persists only hashed/coarsened (/24) identifiers, never a raw IP as shown here.</w:t>
      </w:r>
    </w:p>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1700"/>
        <w:gridCol w:w="1250"/>
        <w:gridCol w:w="1550"/>
      </w:tblGrid>
      <w:tr>
        <w:trPr>
          <w:cantSplit/>
          <w:tblHeader/>
        </w:trPr>
        <w:tc>
          <w:tcPr>
            <w:tcW w:type="dxa" w:w="1700"/>
            <w:shd w:fill="1F1F1F" w:val="clear"/>
            <w:tcMar>
              <w:top w:type="dxa" w:w="50"/>
              <w:left w:type="dxa" w:w="60"/>
              <w:bottom w:type="dxa" w:w="50"/>
              <w:right w:type="dxa" w:w="60"/>
            </w:tcMar>
          </w:tcPr>
          <w:p>
            <w:pPr>
              <w:jc w:val="center"/>
            </w:pPr>
            <w:r>
              <w:rPr>
                <w:rFonts w:ascii="Times New Roman" w:cs="Times New Roman" w:eastAsia="Times New Roman" w:hAnsi="Times New Roman"/>
                <w:b/>
                <w:bCs/>
                <w:color w:val="FFFFFF"/>
                <w:sz w:val="15"/>
                <w:szCs w:val="15"/>
              </w:rPr>
              <w:t xml:space="preserve">Policy field</w:t>
            </w:r>
          </w:p>
        </w:tc>
        <w:tc>
          <w:tcPr>
            <w:tcW w:type="dxa" w:w="1250"/>
            <w:shd w:fill="1F1F1F" w:val="clear"/>
            <w:tcMar>
              <w:top w:type="dxa" w:w="50"/>
              <w:left w:type="dxa" w:w="60"/>
              <w:bottom w:type="dxa" w:w="50"/>
              <w:right w:type="dxa" w:w="60"/>
            </w:tcMar>
          </w:tcPr>
          <w:p>
            <w:pPr>
              <w:jc w:val="center"/>
            </w:pPr>
            <w:r>
              <w:rPr>
                <w:rFonts w:ascii="Times New Roman" w:cs="Times New Roman" w:eastAsia="Times New Roman" w:hAnsi="Times New Roman"/>
                <w:b/>
                <w:bCs/>
                <w:color w:val="FFFFFF"/>
                <w:sz w:val="15"/>
                <w:szCs w:val="15"/>
              </w:rPr>
              <w:t xml:space="preserve">Before</w:t>
            </w:r>
          </w:p>
        </w:tc>
        <w:tc>
          <w:tcPr>
            <w:tcW w:type="dxa" w:w="1550"/>
            <w:shd w:fill="1F1F1F" w:val="clear"/>
            <w:tcMar>
              <w:top w:type="dxa" w:w="50"/>
              <w:left w:type="dxa" w:w="60"/>
              <w:bottom w:type="dxa" w:w="50"/>
              <w:right w:type="dxa" w:w="60"/>
            </w:tcMar>
          </w:tcPr>
          <w:p>
            <w:pPr>
              <w:jc w:val="center"/>
            </w:pPr>
            <w:r>
              <w:rPr>
                <w:rFonts w:ascii="Times New Roman" w:cs="Times New Roman" w:eastAsia="Times New Roman" w:hAnsi="Times New Roman"/>
                <w:b/>
                <w:bCs/>
                <w:color w:val="FFFFFF"/>
                <w:sz w:val="15"/>
                <w:szCs w:val="15"/>
              </w:rPr>
              <w:t xml:space="preserve">After</w:t>
            </w:r>
          </w:p>
        </w:tc>
      </w:tr>
      <w:tr>
        <w:trPr>
          <w:cantSplit/>
        </w:trPr>
        <w:tc>
          <w:tcPr>
            <w:tcW w:type="dxa" w:w="1700"/>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anomaly_threshold</w:t>
            </w:r>
          </w:p>
        </w:tc>
        <w:tc>
          <w:tcPr>
            <w:tcW w:type="dxa" w:w="1250"/>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0.50</w:t>
            </w:r>
          </w:p>
        </w:tc>
        <w:tc>
          <w:tcPr>
            <w:tcW w:type="dxa" w:w="1550"/>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0.45 (−0.05)</w:t>
            </w:r>
          </w:p>
        </w:tc>
      </w:tr>
      <w:tr>
        <w:trPr>
          <w:cantSplit/>
        </w:trPr>
        <w:tc>
          <w:tcPr>
            <w:tcW w:type="dxa" w:w="1700"/>
            <w:shd w:fill="F2F2F2" w:val="clear"/>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blocked_domains</w:t>
            </w:r>
          </w:p>
        </w:tc>
        <w:tc>
          <w:tcPr>
            <w:tcW w:type="dxa" w:w="1250"/>
            <w:shd w:fill="F2F2F2" w:val="clear"/>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 ]</w:t>
            </w:r>
          </w:p>
        </w:tc>
        <w:tc>
          <w:tcPr>
            <w:tcW w:type="dxa" w:w="1550"/>
            <w:shd w:fill="F2F2F2" w:val="clear"/>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[ 1 domain ]</w:t>
            </w:r>
          </w:p>
        </w:tc>
      </w:tr>
      <w:tr>
        <w:trPr>
          <w:cantSplit/>
        </w:trPr>
        <w:tc>
          <w:tcPr>
            <w:tcW w:type="dxa" w:w="1700"/>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blocked_ips</w:t>
            </w:r>
          </w:p>
        </w:tc>
        <w:tc>
          <w:tcPr>
            <w:tcW w:type="dxa" w:w="1250"/>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 ]</w:t>
            </w:r>
          </w:p>
        </w:tc>
        <w:tc>
          <w:tcPr>
            <w:tcW w:type="dxa" w:w="1550"/>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[ 1 IP ]</w:t>
            </w:r>
          </w:p>
        </w:tc>
      </w:tr>
      <w:tr>
        <w:trPr>
          <w:cantSplit/>
        </w:trPr>
        <w:tc>
          <w:tcPr>
            <w:tcW w:type="dxa" w:w="1700"/>
            <w:shd w:fill="F2F2F2" w:val="clear"/>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healing_count</w:t>
            </w:r>
          </w:p>
        </w:tc>
        <w:tc>
          <w:tcPr>
            <w:tcW w:type="dxa" w:w="1250"/>
            <w:shd w:fill="F2F2F2" w:val="clear"/>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N</w:t>
            </w:r>
          </w:p>
        </w:tc>
        <w:tc>
          <w:tcPr>
            <w:tcW w:type="dxa" w:w="1550"/>
            <w:shd w:fill="F2F2F2" w:val="clear"/>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N + 1</w:t>
            </w:r>
          </w:p>
        </w:tc>
      </w:tr>
    </w:tbl>
    <w:p>
      <w:pPr>
        <w:spacing w:after="160"/>
      </w:pPr>
    </w:p>
    <w:p>
      <w:pPr>
        <w:keepNext w:val="false"/>
        <w:spacing w:after="120" w:before="0" w:line="252" w:lineRule="auto"/>
        <w:ind w:firstLine="240"/>
        <w:jc w:val="both"/>
      </w:pPr>
      <w:r>
        <w:rPr>
          <w:rFonts w:ascii="Times New Roman" w:cs="Times New Roman" w:eastAsia="Times New Roman" w:hAnsi="Times New Roman"/>
          <w:b w:val="false"/>
          <w:bCs w:val="false"/>
          <w:i w:val="false"/>
          <w:iCs w:val="false"/>
          <w:sz w:val="20"/>
          <w:szCs w:val="20"/>
        </w:rPr>
        <w:t xml:space="preserve">A structurally identical follow-on email — same sending domain and IP, same behavioral profile — would, after this transition, be quarantined on arrival rather than merely escalated: its domain and IP already appear in the blocklists populated during the first pass, and even a slightly lower-anomaly variant now clears the reduced 0.45 threshold that a pre-trigger message would not have. This is the intended adversarial co-evolution loop described in Section III-H. We note two honesty caveats about this example. First, it is a trace of documented logic under a synthetic input, not a measurement from the evaluation corpus, and we have not independently benchmarked the sub-millisecond-to-low-millisecond latency the original system design estimates for Phase 6; we therefore report no specific timing figure here rather than an unverified one. Second, demonstrating that the rules fire as specified is not equivalent to demonstrating that the specified thresholds (75-point CRITICAL, 0.05 threshold step, 0.70 anomaly trigger) are well-calibrated for a production traffic mix — that calibration question is a further open item alongside the balanced-corpus evaluation in Section V-F.</w:t>
      </w:r>
    </w:p>
    <w:p>
      <w:pPr>
        <w:keepNext/>
        <w:spacing w:after="140" w:before="240"/>
        <w:jc w:val="center"/>
      </w:pPr>
      <w:r>
        <w:rPr>
          <w:rFonts w:ascii="Times New Roman" w:cs="Times New Roman" w:eastAsia="Times New Roman" w:hAnsi="Times New Roman"/>
          <w:b/>
          <w:bCs/>
          <w:sz w:val="21"/>
          <w:szCs w:val="21"/>
        </w:rPr>
        <w:t xml:space="preserve">VI. CONCLUSION AND FUTURE WORK</w:t>
      </w:r>
    </w:p>
    <w:p>
      <w:pPr>
        <w:keepNext w:val="false"/>
        <w:spacing w:after="120" w:before="0" w:line="252" w:lineRule="auto"/>
        <w:jc w:val="both"/>
      </w:pPr>
      <w:r>
        <w:rPr>
          <w:rFonts w:ascii="Times New Roman" w:cs="Times New Roman" w:eastAsia="Times New Roman" w:hAnsi="Times New Roman"/>
          <w:b w:val="false"/>
          <w:bCs w:val="false"/>
          <w:i w:val="false"/>
          <w:iCs w:val="false"/>
          <w:sz w:val="20"/>
          <w:szCs w:val="20"/>
        </w:rPr>
        <w:t xml:space="preserve">This paper presented Sentinel, a six-phase, metadata-only architecture for detecting phishing, spear-phishing, and Business Email Compromise without ever reading email body content. By combining a privacy-preserving behavioral Digital Twin, an eight-signal Bayesian attribution engine, a four-agent detection-and-explanation orchestrator with a deterministic fallback, a NetworkX-based attack-graph correlator, and an autonomous self-healing policy engine, Sentinel shows that the email envelope alone carries sufficient forensic signal to support operationally useful, real-time threat detection. An evaluation on 7,446 real-world phishing emails from the EPVME corpus showed the pipeline processing mail at 16.1 emails/second — one to three orders of magnitude faster than an LLM-content-classifier baseline bounded by API latency — with a 90.53% successful-parse rate, correctly escalating 98.7% of the corpus to human review, and recovering 4,644 coordinated campaigns through graph correlation that no per-message classifier can in principle surface.</w:t>
      </w:r>
    </w:p>
    <w:p>
      <w:pPr>
        <w:keepNext w:val="false"/>
        <w:spacing w:after="120" w:before="0" w:line="252" w:lineRule="auto"/>
        <w:ind w:firstLine="240"/>
        <w:jc w:val="both"/>
      </w:pPr>
      <w:r>
        <w:rPr>
          <w:rFonts w:ascii="Times New Roman" w:cs="Times New Roman" w:eastAsia="Times New Roman" w:hAnsi="Times New Roman"/>
          <w:b w:val="false"/>
          <w:bCs w:val="false"/>
          <w:i w:val="false"/>
          <w:iCs w:val="false"/>
          <w:sz w:val="20"/>
          <w:szCs w:val="20"/>
        </w:rPr>
        <w:t xml:space="preserve">These results support a specific, bounded claim: for high-volume, real-time, campaign-aware threat hunting, metadata-only analysis is not merely an acceptable compromise imposed by privacy or regulatory constraints, but a genuinely competitive — and on the dimensions of throughput, cross-message correlation, and autonomous adaptation, superior — architectural choice compared with content-dependent alternatives. We deliberately stop short of a broader claim that Sentinel matches or exceeds content-based classifiers on detection accuracy itself, because that comparison requires the balanced-corpus evaluation specified in Section V-F, which we have designed but not yet run. Closing that gap is the most important next step: executing the SpamAssassin/EPVME protocol and reporting measured precision, recall, and false-positive rate; activating the designed MongoDB persistence layer for Digital Twin profiles, attack-graph state, and the self-healing audit log; and implementing the adaptive MIME parser to bring the 9.47% failure rate below 2% and re-measuring it. Beyond these, STIX/TAXII export of detected campaigns and attributions, an active-learning interface for analyst feedback, and federated Digital Twin pre-seeding to shorten the cold-start period are planned to move Sentinel from a research prototype toward integration with existing Security Operations Center workflows — at which point the throughput and campaign-correlation results reported here, together with the accuracy results Section V-F will eventually supply, will together establish the complete case for metadata-only detection at production scale.</w:t>
      </w:r>
    </w:p>
    <w:p>
      <w:pPr>
        <w:spacing w:after="140" w:before="240"/>
        <w:jc w:val="center"/>
      </w:pPr>
      <w:r>
        <w:rPr>
          <w:rFonts w:ascii="Times New Roman" w:cs="Times New Roman" w:eastAsia="Times New Roman" w:hAnsi="Times New Roman"/>
          <w:b/>
          <w:bCs/>
          <w:sz w:val="21"/>
          <w:szCs w:val="21"/>
        </w:rPr>
        <w:t xml:space="preserve">REFERENCES</w:t>
      </w:r>
    </w:p>
    <w:p>
      <w:pPr>
        <w:spacing w:after="90" w:line="240"/>
        <w:ind w:left="260" w:hanging="260"/>
        <w:jc w:val="both"/>
      </w:pPr>
      <w:r>
        <w:rPr>
          <w:rFonts w:ascii="Times New Roman" w:cs="Times New Roman" w:eastAsia="Times New Roman" w:hAnsi="Times New Roman"/>
          <w:sz w:val="18"/>
          <w:szCs w:val="18"/>
        </w:rPr>
        <w:t xml:space="preserve">[1] </w:t>
      </w:r>
      <w:r>
        <w:rPr>
          <w:rFonts w:ascii="Times New Roman" w:cs="Times New Roman" w:eastAsia="Times New Roman" w:hAnsi="Times New Roman"/>
          <w:sz w:val="18"/>
          <w:szCs w:val="18"/>
        </w:rPr>
        <w:t xml:space="preserve">Verizon Business, "2024 Data Breach Investigations Report," Verizon, 2024.</w:t>
      </w:r>
    </w:p>
    <w:p>
      <w:pPr>
        <w:spacing w:after="90" w:line="240"/>
        <w:ind w:left="260" w:hanging="260"/>
        <w:jc w:val="both"/>
      </w:pPr>
      <w:r>
        <w:rPr>
          <w:rFonts w:ascii="Times New Roman" w:cs="Times New Roman" w:eastAsia="Times New Roman" w:hAnsi="Times New Roman"/>
          <w:sz w:val="18"/>
          <w:szCs w:val="18"/>
        </w:rPr>
        <w:t xml:space="preserve">[2] </w:t>
      </w:r>
      <w:r>
        <w:rPr>
          <w:rFonts w:ascii="Times New Roman" w:cs="Times New Roman" w:eastAsia="Times New Roman" w:hAnsi="Times New Roman"/>
          <w:sz w:val="18"/>
          <w:szCs w:val="18"/>
        </w:rPr>
        <w:t xml:space="preserve">Federal Bureau of Investigation, Internet Crime Complaint Center (IC3), "2023 Internet Crime Report," U.S. Department of Justice, May 2024.</w:t>
      </w:r>
    </w:p>
    <w:p>
      <w:pPr>
        <w:spacing w:after="90" w:line="240"/>
        <w:ind w:left="260" w:hanging="260"/>
        <w:jc w:val="both"/>
      </w:pPr>
      <w:r>
        <w:rPr>
          <w:rFonts w:ascii="Times New Roman" w:cs="Times New Roman" w:eastAsia="Times New Roman" w:hAnsi="Times New Roman"/>
          <w:sz w:val="18"/>
          <w:szCs w:val="18"/>
        </w:rPr>
        <w:t xml:space="preserve">[3] </w:t>
      </w:r>
      <w:r>
        <w:rPr>
          <w:rFonts w:ascii="Times New Roman" w:cs="Times New Roman" w:eastAsia="Times New Roman" w:hAnsi="Times New Roman"/>
          <w:sz w:val="18"/>
          <w:szCs w:val="18"/>
        </w:rPr>
        <w:t xml:space="preserve">H. Hu, P. Peng, and G. Wang, "Towards the Adoption of Anti-Spoofing Protocols for Email Systems," arXiv:1711.06654, 2017.</w:t>
      </w:r>
    </w:p>
    <w:p>
      <w:pPr>
        <w:spacing w:after="90" w:line="240"/>
        <w:ind w:left="260" w:hanging="260"/>
        <w:jc w:val="both"/>
      </w:pPr>
      <w:r>
        <w:rPr>
          <w:rFonts w:ascii="Times New Roman" w:cs="Times New Roman" w:eastAsia="Times New Roman" w:hAnsi="Times New Roman"/>
          <w:sz w:val="18"/>
          <w:szCs w:val="18"/>
        </w:rPr>
        <w:t xml:space="preserve">[4] </w:t>
      </w:r>
      <w:r>
        <w:rPr>
          <w:rFonts w:ascii="Times New Roman" w:cs="Times New Roman" w:eastAsia="Times New Roman" w:hAnsi="Times New Roman"/>
          <w:sz w:val="18"/>
          <w:szCs w:val="18"/>
        </w:rPr>
        <w:t xml:space="preserve">H. Hu and G. Wang, "End-to-End Measurements of Email Spoofing Attacks," in Proc. 27th USENIX Security Symposium, Baltimore, MD, USA, 2018, pp. 1095–1112.</w:t>
      </w:r>
    </w:p>
    <w:p>
      <w:pPr>
        <w:spacing w:after="90" w:line="240"/>
        <w:ind w:left="260" w:hanging="260"/>
        <w:jc w:val="both"/>
      </w:pPr>
      <w:r>
        <w:rPr>
          <w:rFonts w:ascii="Times New Roman" w:cs="Times New Roman" w:eastAsia="Times New Roman" w:hAnsi="Times New Roman"/>
          <w:sz w:val="18"/>
          <w:szCs w:val="18"/>
        </w:rPr>
        <w:t xml:space="preserve">[5] </w:t>
      </w:r>
      <w:r>
        <w:rPr>
          <w:rFonts w:ascii="Times New Roman" w:cs="Times New Roman" w:eastAsia="Times New Roman" w:hAnsi="Times New Roman"/>
          <w:sz w:val="18"/>
          <w:szCs w:val="18"/>
        </w:rPr>
        <w:t xml:space="preserve">S. Ashiq et al., "Measurement and Security Implications of DMARC Reporting," in Proc. 32nd USENIX Security Symposium, 2023.</w:t>
      </w:r>
    </w:p>
    <w:p>
      <w:pPr>
        <w:spacing w:after="90" w:line="240"/>
        <w:ind w:left="260" w:hanging="260"/>
        <w:jc w:val="both"/>
      </w:pPr>
      <w:r>
        <w:rPr>
          <w:rFonts w:ascii="Times New Roman" w:cs="Times New Roman" w:eastAsia="Times New Roman" w:hAnsi="Times New Roman"/>
          <w:sz w:val="18"/>
          <w:szCs w:val="18"/>
        </w:rPr>
        <w:t xml:space="preserve">[6] </w:t>
      </w:r>
      <w:r>
        <w:rPr>
          <w:rFonts w:ascii="Times New Roman" w:cs="Times New Roman" w:eastAsia="Times New Roman" w:hAnsi="Times New Roman"/>
          <w:sz w:val="18"/>
          <w:szCs w:val="18"/>
        </w:rPr>
        <w:t xml:space="preserve">O. Hureau, J. Bayer, A. Duda, and M. Korczyński, "Spoofed Emails: An Analysis of the Issues Hindering a Larger Deployment of DMARC," in Proc. Passive and Active Measurement Conf. (PAM), Springer LNCS vol. 14538, 2024, pp. 232–261.</w:t>
      </w:r>
    </w:p>
    <w:p>
      <w:pPr>
        <w:spacing w:after="90" w:line="240"/>
        <w:ind w:left="260" w:hanging="260"/>
        <w:jc w:val="both"/>
      </w:pPr>
      <w:r>
        <w:rPr>
          <w:rFonts w:ascii="Times New Roman" w:cs="Times New Roman" w:eastAsia="Times New Roman" w:hAnsi="Times New Roman"/>
          <w:sz w:val="18"/>
          <w:szCs w:val="18"/>
        </w:rPr>
        <w:t xml:space="preserve">[7] </w:t>
      </w:r>
      <w:r>
        <w:rPr>
          <w:rFonts w:ascii="Times New Roman" w:cs="Times New Roman" w:eastAsia="Times New Roman" w:hAnsi="Times New Roman"/>
          <w:sz w:val="18"/>
          <w:szCs w:val="18"/>
        </w:rPr>
        <w:t xml:space="preserve">A. I. Champa, M. F. Rabbi, and M. F. Zibran, "Curated Datasets and Feature Analysis for Phishing Email Detection with Machine Learning," in Proc. 2024 IEEE 3rd Int. Conf. on Computing and Machine Intelligence (ICMI), 2024.</w:t>
      </w:r>
    </w:p>
    <w:p>
      <w:pPr>
        <w:spacing w:after="90" w:line="240"/>
        <w:ind w:left="260" w:hanging="260"/>
        <w:jc w:val="both"/>
      </w:pPr>
      <w:r>
        <w:rPr>
          <w:rFonts w:ascii="Times New Roman" w:cs="Times New Roman" w:eastAsia="Times New Roman" w:hAnsi="Times New Roman"/>
          <w:sz w:val="18"/>
          <w:szCs w:val="18"/>
        </w:rPr>
        <w:t xml:space="preserve">[8] </w:t>
      </w:r>
      <w:r>
        <w:rPr>
          <w:rFonts w:ascii="Times New Roman" w:cs="Times New Roman" w:eastAsia="Times New Roman" w:hAnsi="Times New Roman"/>
          <w:sz w:val="18"/>
          <w:szCs w:val="18"/>
        </w:rPr>
        <w:t xml:space="preserve">"Improving Phishing Email Detection Performance through Deep Learning with Adaptive Optimization," Scientific Reports, vol. 15, 2025.</w:t>
      </w:r>
    </w:p>
    <w:p>
      <w:pPr>
        <w:spacing w:after="90" w:line="240"/>
        <w:ind w:left="260" w:hanging="260"/>
        <w:jc w:val="both"/>
      </w:pPr>
      <w:r>
        <w:rPr>
          <w:rFonts w:ascii="Times New Roman" w:cs="Times New Roman" w:eastAsia="Times New Roman" w:hAnsi="Times New Roman"/>
          <w:sz w:val="18"/>
          <w:szCs w:val="18"/>
        </w:rPr>
        <w:t xml:space="preserve">[9] </w:t>
      </w:r>
      <w:r>
        <w:rPr>
          <w:rFonts w:ascii="Times New Roman" w:cs="Times New Roman" w:eastAsia="Times New Roman" w:hAnsi="Times New Roman"/>
          <w:sz w:val="18"/>
          <w:szCs w:val="18"/>
        </w:rPr>
        <w:t xml:space="preserve">"Comparative Investigation of Traditional Machine-Learning Models and Transformer-Based Approaches for Phishing Email Detection," Electronics, vol. 13, no. 24, art. 4877, 2024.</w:t>
      </w:r>
    </w:p>
    <w:p>
      <w:pPr>
        <w:spacing w:after="90" w:line="240"/>
        <w:ind w:left="260" w:hanging="260"/>
        <w:jc w:val="both"/>
      </w:pPr>
      <w:r>
        <w:rPr>
          <w:rFonts w:ascii="Times New Roman" w:cs="Times New Roman" w:eastAsia="Times New Roman" w:hAnsi="Times New Roman"/>
          <w:sz w:val="18"/>
          <w:szCs w:val="18"/>
        </w:rPr>
        <w:t xml:space="preserve">[10] </w:t>
      </w:r>
      <w:r>
        <w:rPr>
          <w:rFonts w:ascii="Times New Roman" w:cs="Times New Roman" w:eastAsia="Times New Roman" w:hAnsi="Times New Roman"/>
          <w:sz w:val="18"/>
          <w:szCs w:val="18"/>
        </w:rPr>
        <w:t xml:space="preserve">"A Multi-Agent System for Cybersecurity Threat Detection and Correlation Using Large Language Models," preprint, 2024.</w:t>
      </w:r>
    </w:p>
    <w:p>
      <w:pPr>
        <w:spacing w:after="90" w:line="240"/>
        <w:ind w:left="260" w:hanging="260"/>
        <w:jc w:val="both"/>
      </w:pPr>
      <w:r>
        <w:rPr>
          <w:rFonts w:ascii="Times New Roman" w:cs="Times New Roman" w:eastAsia="Times New Roman" w:hAnsi="Times New Roman"/>
          <w:sz w:val="18"/>
          <w:szCs w:val="18"/>
        </w:rPr>
        <w:t xml:space="preserve">[11] </w:t>
      </w:r>
      <w:r>
        <w:rPr>
          <w:rFonts w:ascii="Times New Roman" w:cs="Times New Roman" w:eastAsia="Times New Roman" w:hAnsi="Times New Roman"/>
          <w:sz w:val="18"/>
          <w:szCs w:val="18"/>
        </w:rPr>
        <w:t xml:space="preserve">"Generative Agent-Based Modeling with Large Language Models for Insider Threat Detection," Engineering Applications of Artificial Intelligence, Elsevier, 2025.</w:t>
      </w:r>
    </w:p>
    <w:p>
      <w:pPr>
        <w:spacing w:after="90" w:line="240"/>
        <w:ind w:left="260" w:hanging="260"/>
        <w:jc w:val="both"/>
      </w:pPr>
      <w:r>
        <w:rPr>
          <w:rFonts w:ascii="Times New Roman" w:cs="Times New Roman" w:eastAsia="Times New Roman" w:hAnsi="Times New Roman"/>
          <w:sz w:val="18"/>
          <w:szCs w:val="18"/>
        </w:rPr>
        <w:t xml:space="preserve">[12] </w:t>
      </w:r>
      <w:r>
        <w:rPr>
          <w:rFonts w:ascii="Times New Roman" w:cs="Times New Roman" w:eastAsia="Times New Roman" w:hAnsi="Times New Roman"/>
          <w:sz w:val="18"/>
          <w:szCs w:val="18"/>
        </w:rPr>
        <w:t xml:space="preserve">K. E. Kampourakis, V. Gkioulos, and S. Katsikas, "Systematic Integration of Digital Twins and Constrained LLMs for Interpretable Cyber-Physical Anomaly Detection," NTNU, arXiv preprint, 2025.</w:t>
      </w:r>
    </w:p>
    <w:p>
      <w:pPr>
        <w:spacing w:after="90" w:line="240"/>
        <w:ind w:left="260" w:hanging="260"/>
        <w:jc w:val="both"/>
      </w:pPr>
      <w:r>
        <w:rPr>
          <w:rFonts w:ascii="Times New Roman" w:cs="Times New Roman" w:eastAsia="Times New Roman" w:hAnsi="Times New Roman"/>
          <w:sz w:val="18"/>
          <w:szCs w:val="18"/>
        </w:rPr>
        <w:t xml:space="preserve">[13] </w:t>
      </w:r>
      <w:r>
        <w:rPr>
          <w:rFonts w:ascii="Times New Roman" w:cs="Times New Roman" w:eastAsia="Times New Roman" w:hAnsi="Times New Roman"/>
          <w:sz w:val="18"/>
          <w:szCs w:val="18"/>
        </w:rPr>
        <w:t xml:space="preserve">M. Eckhart and A. Ekelhart, "Towards Security-Aware Virtual Environments for Digital Twins," in Proc. 4th ACM Workshop on Cyber-Physical Systems Security and PrivaCy (CPS-SPC), 2018.</w:t>
      </w:r>
    </w:p>
    <w:p>
      <w:pPr>
        <w:spacing w:after="90" w:line="240"/>
        <w:ind w:left="260" w:hanging="260"/>
        <w:jc w:val="both"/>
      </w:pPr>
      <w:r>
        <w:rPr>
          <w:rFonts w:ascii="Times New Roman" w:cs="Times New Roman" w:eastAsia="Times New Roman" w:hAnsi="Times New Roman"/>
          <w:sz w:val="18"/>
          <w:szCs w:val="18"/>
        </w:rPr>
        <w:t xml:space="preserve">[14] </w:t>
      </w:r>
      <w:r>
        <w:rPr>
          <w:rFonts w:ascii="Times New Roman" w:cs="Times New Roman" w:eastAsia="Times New Roman" w:hAnsi="Times New Roman"/>
          <w:sz w:val="18"/>
          <w:szCs w:val="18"/>
        </w:rPr>
        <w:t xml:space="preserve">Y. Zhao, Y. Xie, F. Yu, Q. Ke, Y. Yu, Y. Chen, and E. Gillum, "BotGraph: Large Scale Spamming Botnet Detection," in Proc. 6th USENIX Symp. on Networked Systems Design and Implementation (NSDI), 2009.</w:t>
      </w:r>
    </w:p>
    <w:p>
      <w:pPr>
        <w:spacing w:after="90" w:line="240"/>
        <w:ind w:left="260" w:hanging="260"/>
        <w:jc w:val="both"/>
      </w:pPr>
      <w:r>
        <w:rPr>
          <w:rFonts w:ascii="Times New Roman" w:cs="Times New Roman" w:eastAsia="Times New Roman" w:hAnsi="Times New Roman"/>
          <w:sz w:val="18"/>
          <w:szCs w:val="18"/>
        </w:rPr>
        <w:t xml:space="preserve">[15] </w:t>
      </w:r>
      <w:r>
        <w:rPr>
          <w:rFonts w:ascii="Times New Roman" w:cs="Times New Roman" w:eastAsia="Times New Roman" w:hAnsi="Times New Roman"/>
          <w:sz w:val="18"/>
          <w:szCs w:val="18"/>
        </w:rPr>
        <w:t xml:space="preserve">The Apache Software Foundation, "Apache SpamAssassin Project" and public ham/spam corpus, [Online]. Available: https://spamassassin.apache.org/.</w:t>
      </w:r>
    </w:p>
    <w:p>
      <w:pPr>
        <w:spacing w:after="90" w:line="240"/>
        <w:ind w:left="260" w:hanging="260"/>
        <w:jc w:val="both"/>
      </w:pPr>
      <w:r>
        <w:rPr>
          <w:rFonts w:ascii="Times New Roman" w:cs="Times New Roman" w:eastAsia="Times New Roman" w:hAnsi="Times New Roman"/>
          <w:sz w:val="18"/>
          <w:szCs w:val="18"/>
        </w:rPr>
        <w:t xml:space="preserve">[16] </w:t>
      </w:r>
      <w:r>
        <w:rPr>
          <w:rFonts w:ascii="Times New Roman" w:cs="Times New Roman" w:eastAsia="Times New Roman" w:hAnsi="Times New Roman"/>
          <w:sz w:val="18"/>
          <w:szCs w:val="18"/>
        </w:rPr>
        <w:t xml:space="preserve">L. Jiang, "Detecting Scams Using Large Language Models," arXiv:2402.03147, 2024.</w:t>
      </w:r>
    </w:p>
    <w:sectPr>
      <w:footerReference w:type="default" r:id="rId8"/>
      <w:type w:val="continuous"/>
      <w:pgSz w:w="12240" w:h="15840" w:orient="portrait"/>
      <w:pgMar w:top="1080" w:right="1080" w:bottom="1080" w:left="1080" w:header="708" w:footer="708" w:gutter="0"/>
      <w:pgNumType/>
      <w:cols w:space="360"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2026-09-09T04:32:50.728Z</dcterms:created>
  <dcterms:modified xsi:type="dcterms:W3CDTF">2026-09-09T04:32:50.729Z</dcterms:modified>
</cp:coreProperties>
</file>

<file path=docProps/custom.xml><?xml version="1.0" encoding="utf-8"?>
<Properties xmlns="http://schemas.openxmlformats.org/officeDocument/2006/custom-properties" xmlns:vt="http://schemas.openxmlformats.org/officeDocument/2006/docPropsVTypes"/>
</file>