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0"/>
          <w:szCs w:val="30"/>
        </w:rPr>
        <w:t xml:space="preserve">Sentinel: A Self-Healing, Metadata-Only Architecture for Privacy-Preserving Phishing and Business Email Compromise Detection via Behavioral Digital Twins, Bayesian Attribution, and Multi-Agent Orchestration</w:t>
      </w:r>
    </w:p>
    <w:p>
      <w:pPr>
        <w:spacing w:after="20" w:before="200"/>
        <w:jc w:val="center"/>
      </w:pPr>
      <w:r>
        <w:rPr>
          <w:rFonts w:ascii="Times New Roman" w:cs="Times New Roman" w:eastAsia="Times New Roman" w:hAnsi="Times New Roman"/>
          <w:sz w:val="22"/>
          <w:szCs w:val="22"/>
        </w:rPr>
        <w:t xml:space="preserve">Saiii</w:t>
      </w:r>
    </w:p>
    <w:p>
      <w:pPr>
        <w:spacing w:after="4"/>
        <w:jc w:val="center"/>
      </w:pPr>
      <w:r>
        <w:rPr>
          <w:rFonts w:ascii="Times New Roman" w:cs="Times New Roman" w:eastAsia="Times New Roman" w:hAnsi="Times New Roman"/>
          <w:i/>
          <w:iCs/>
          <w:sz w:val="19"/>
          <w:szCs w:val="19"/>
        </w:rPr>
        <w:t xml:space="preserve">Department of Computer Science and Engineering — Data Science</w:t>
      </w:r>
    </w:p>
    <w:p>
      <w:pPr>
        <w:spacing w:after="4"/>
        <w:jc w:val="center"/>
      </w:pPr>
      <w:r>
        <w:rPr>
          <w:rFonts w:ascii="Times New Roman" w:cs="Times New Roman" w:eastAsia="Times New Roman" w:hAnsi="Times New Roman"/>
          <w:i/>
          <w:iCs/>
          <w:sz w:val="19"/>
          <w:szCs w:val="19"/>
        </w:rPr>
        <w:t xml:space="preserve">Vignan's Lara Institute of Technology and Science, Guntur, Andhra Pradesh, India</w:t>
      </w:r>
    </w:p>
    <w:p>
      <w:pPr>
        <w:spacing w:after="200"/>
        <w:jc w:val="center"/>
      </w:pPr>
      <w:r>
        <w:rPr>
          <w:rFonts w:ascii="Times New Roman" w:cs="Times New Roman" w:eastAsia="Times New Roman" w:hAnsi="Times New Roman"/>
          <w:i/>
          <w:iCs/>
          <w:sz w:val="18"/>
          <w:szCs w:val="18"/>
        </w:rPr>
        <w:t xml:space="preserve">[corresponding author e-mail to be inserted]</w:t>
      </w:r>
    </w:p>
    <w:p>
      <w:pPr>
        <w:spacing w:after="100" w:before="0" w:line="252" w:lineRule="auto"/>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val="false"/>
          <w:bCs w:val="false"/>
          <w:i w:val="false"/>
          <w:iCs w:val="false"/>
          <w:sz w:val="18"/>
          <w:szCs w:val="18"/>
        </w:rPr>
        <w:t xml:space="preserve">Email remains the leading vector for cybercrime, and most machine-learning defenses against phishing and Business Email Compromise (BEC) rely on inspecting message bodies — an approach that raises privacy and regulatory concerns and is infeasible for end-to-end-encrypted mail. This paper presents Sentinel, a six-phase, metadata-only email threat-detection architecture that classifies phishing, spear-phishing, and BEC attempts using exclusively header, routing, and authentication metadata, without ever accessing message content. Sentinel combines (i) a privacy-preserving behavioral "Digital Twin" that scores per-sender anomalies from hashed and coarsened metadata, (ii) a Bayesian attacker-attribution engine that fuses eight independent evidentiary signals to resist VPN and proxy evasion, (iii) a four-agent orchestrator — with a deterministic rule-based fallback when no LLM key is configured — that performs forensic detection, risk fusion, plain-language explanation, and adversarial red-teaming, (iv) a graph-based correlator built on NetworkX that surfaces coordinated campaigns invisible to single-email analysis, and (v) a self-healing policy engine that autonomously updates detection thresholds and blocklists from confirmed and adversarial evidence. An operational evaluation on 7,446 emails from the EPVME phishing corpus shows the pipeline processing email at 16.1 messages/second with a 90.53% successful-parse rate, correctly escalating 98.7% of the (entirely malicious) corpus to human review, and surfacing 4,644 coordinated attack campaigns through graph correlation. We describe the architecture in detail, report the operational results, and discuss the limitations inherent to a metadata-only design, together with the engineering work — state persistence, adaptive MIME parsing, and threat-intelligence export — required to reach production readiness.</w:t>
      </w:r>
    </w:p>
    <w:p>
      <w:pPr>
        <w:spacing w:after="160" w:before="0" w:line="252" w:lineRule="auto"/>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val="false"/>
          <w:bCs w:val="false"/>
          <w:i w:val="false"/>
          <w:iCs w:val="false"/>
          <w:sz w:val="18"/>
          <w:szCs w:val="18"/>
        </w:rPr>
        <w:t xml:space="preserve">email security, phishing detection, business email compromise, privacy-preserving detection, behavioral profiling, Bayesian inference, multi-agent large language models, self-healing security systems, attack-graph correlation, metadata analysis</w:t>
      </w:r>
    </w:p>
    <w:p>
      <w:pPr>
        <w:sectPr>
          <w:type w:val="continuous"/>
          <w:pgSz w:w="12240" w:h="15840" w:orient="portrait"/>
          <w:pgMar w:top="1080" w:right="1080" w:bottom="1080" w:left="1080" w:header="708" w:footer="708" w:gutter="0"/>
          <w:pgNumType/>
          <w:docGrid w:linePitch="360"/>
        </w:sectPr>
      </w:pPr>
    </w:p>
    <w:p>
      <w:pPr>
        <w:keepNext/>
        <w:spacing w:after="140" w:before="240"/>
        <w:jc w:val="center"/>
      </w:pPr>
      <w:r>
        <w:rPr>
          <w:rFonts w:ascii="Times New Roman" w:cs="Times New Roman" w:eastAsia="Times New Roman" w:hAnsi="Times New Roman"/>
          <w:b/>
          <w:bCs/>
          <w:sz w:val="21"/>
          <w:szCs w:val="21"/>
        </w:rPr>
        <w:t xml:space="preserve">I. INTRODUCTION</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Email remains one of the most heavily exploited channels in cybercrime. In Verizon's 2024 Data Breach Investigations Report, phishing was identified as a contributing action in 15% of confirmed breaches, and social-engineering-related attacks continue to dominate the breach patterns most organizations report [1]. The financial consequences of email-borne fraud are severe and rising: the FBI's Internet Crime Complaint Center (IC3) recorded 21,489 Business Email Compromise (BEC) complaints in 2023 alone, amounting to more than $2.9 billion in reported losses — a 7% increase over the previous year [2]. Despite two decades of anti-spam and anti-phishing research, attackers continue to evade detection through four recurring strategies.</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First, identity spoofing: attackers impersonate trusted domains, executives, or vendors, and simple authentication checks are routinely bypassed through cousin domains (e.g., paypa1.com) and display-name manipulation. Second, infrastructure rotation: VPNs, Tor, and residential proxies let an attacker change apparent origin between sends, defeating IP-reputation blacklists within hours. Third, slow-burn campaigns: coordinated attacks spread across weeks and thousands of rotating IPs, with each individual email staying below per-sender thresholds even though the campaign as a whole is highly aggressive. Fourth, static defenses: conventional tools require manual policy updates after each newly discovered attack pattern, while attackers probe and adapt faster than security teams can respond.</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A further complication is that the dominant technical response to spoofing — SPF, DKIM, and DMARC — remains inconsistently deployed a decade after standardization. Large-scale measurement studies have repeatedly found that only a minority of domains deploy all three protocols in combination, that DMARC adoption in particular lags well behind SPF, and that even where protocols are deployed, misconfiguration and lax enforcement policies leave forged mail able to reach user inboxes [3], [4], [5], [6]. Authentication signals are therefore necessary but not sufficient evidence for a detection system to rely on alone.</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Most recent machine-learning literature on this problem instead targets message content: transformer-based classifiers over email text now report accuracy figures in the high-90s on curated corpora [7], [8], [9], and ensembles of classical models (Random Forest, XGBoost, SVM) remain competitive baselines on header-plus-body feature sets. These systems are effective in the settings they are evaluated on, but they require reading — and typically storing — the body of every email that passes through them, which is difficult to reconcile with data-minimization obligations under regulations such as the GDPR, with attorney-client and other privileged-communication protections, and with deployment inside end-to-end-encrypted mail systems where the body is simply unavailable to a network-level detector.</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This paper describes Sentinel, an email threat-detection system designed around a different constraint: detect phishing, spear-phishing, and BEC using only the information that is present in the email envelope — headers, the SMTP relay chain, and authentication stamps — and never touch the message body. Sentinel's contribution is not a single classifier but an architecture: six interlocking analytical phases that (1) extract a rich forensic feature set from raw headers, (2) build a privacy-preserving behavioral baseline per sender and score deviations from it, (3) fuse multiple weak geolocation signals with Bayesian updating to attribute likely attacker origin even under VPN rotation, (4) run a multi-agent pipeline that separates forensic detection, risk scoring, human-readable explanation, and adversarial self-critique into distinct roles, (5) correlate individual emails into attack graphs to expose coordinated campaigns, and (6) autonomously tighten policy in response to confirmed and adversarial findings, closing the loop without requiring a human to push a new rule set.</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We evaluate an implementation of this architecture operationally on 7,446 real-world phishing and legitimate emails drawn from the EPVME (Email Phishing and Vulnerability Metadata Engine) corpus, reporting throughput, parser robustness, the distribution of risk-based actions the system produced, and the campaigns its graph correlator recovered. Because the evaluation corpus is single-class (labeled phishing) and the system's output is a graded action recommendation rather than a binary label, we deliberately do not report classification metrics such as F1 or AUC-ROC that would require a balanced, ground-truth-labeled set; instead we treat this as an operational stress test of pipeline correctness, throughput, and behavior under load, and we discuss what a controlled classification evaluation would still need to establish.</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remainder of the paper is organized as follows. Section II surveys related work in email authentication measurement, content-based phishing classification, graph-based coordinated-attack detection, and multi-agent LLM security systems. Section III presents Sentinel's architecture and each of its six phases in detail. Section IV describes the experimental setup. Section V reports and discusses the operational results, including a qualitative comparison with state-of-the-art content-based systems and the limitations the evaluation surfaced. Section VI concludes and outlines the engineering work remaining before production deployment.</w:t>
      </w:r>
    </w:p>
    <w:p>
      <w:pPr>
        <w:keepNext/>
        <w:spacing w:after="140" w:before="240"/>
        <w:jc w:val="center"/>
      </w:pPr>
      <w:r>
        <w:rPr>
          <w:rFonts w:ascii="Times New Roman" w:cs="Times New Roman" w:eastAsia="Times New Roman" w:hAnsi="Times New Roman"/>
          <w:b/>
          <w:bCs/>
          <w:sz w:val="21"/>
          <w:szCs w:val="21"/>
        </w:rPr>
        <w:t xml:space="preserve">II. RELATED WORK</w:t>
      </w:r>
    </w:p>
    <w:p>
      <w:pPr>
        <w:keepNext/>
        <w:spacing w:after="80" w:before="160"/>
      </w:pPr>
      <w:r>
        <w:rPr>
          <w:rFonts w:ascii="Times New Roman" w:cs="Times New Roman" w:eastAsia="Times New Roman" w:hAnsi="Times New Roman"/>
          <w:b/>
          <w:bCs/>
          <w:i/>
          <w:iCs/>
          <w:sz w:val="20"/>
          <w:szCs w:val="20"/>
        </w:rPr>
        <w:t xml:space="preserve">A. Email Authentication and Spoofing Measurement</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SPF, DKIM, and DMARC form the standard defense against sender spoofing. Longitudinal Internet-wide measurement studies show that adoption, while increasing, remains partial and unevenly enforced: Hu and Wang's end-to-end study of the Alexa top one million domains found SPF present on 44.9% of domains and valid DMARC on only 5.1%, and demonstrated that forged mail could still reach inboxes at a majority of the 35 popular providers they tested despite failed authentication [4]. A companion qualitative study of email administrators found that awareness of SPF/DKIM/DMARC weaknesses, rather than ignorance, was the dominant reason organizations were slow to adopt strict enforcement policies, because misconfiguration risked silently blocking legitimate mail [3]. More recent measurement work on DMARC aggregate-report deployment confirms that adoption of all three protocols in combination is still a small minority of domains and that reporting itself can be mismanaged in ways that create new denial-of-service surfaces [5], [6]. These findings motivate Sentinel's design choice to treat SPF/DKIM/DMARC verdicts as one signal among many rather than a sufficient basis for a pass/fail decision.</w:t>
      </w:r>
    </w:p>
    <w:p>
      <w:pPr>
        <w:keepNext/>
        <w:spacing w:after="80" w:before="160"/>
      </w:pPr>
      <w:r>
        <w:rPr>
          <w:rFonts w:ascii="Times New Roman" w:cs="Times New Roman" w:eastAsia="Times New Roman" w:hAnsi="Times New Roman"/>
          <w:b/>
          <w:bCs/>
          <w:i/>
          <w:iCs/>
          <w:sz w:val="20"/>
          <w:szCs w:val="20"/>
        </w:rPr>
        <w:t xml:space="preserve">B. Content-Based Phishing and BEC Classification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dominant strand of phishing-detection research applies NLP and classical or deep learning to message content and URLs. Recent surveys report that ensemble tree methods (Random Forest, XGBoost) on engineered header/content feature sets typically achieve 93–96% accuracy, while transformer-based approaches (BERT, DistilBERT and variants) push reported accuracy above 98% on curated phishing-email corpora [7], [8], [9], [10]. These results are encouraging but are consistently reported on datasets where the full message — including body text — is available to the classifier, and where the evaluation set is balanced or near-balanced between phishing and legitimate mail; neither condition holds for a metadata-only detector evaluated on a single-class corpus, which limits direct numerical comparison and motivates the operational, rather than classification-metric, framing of our evaluation in Section V.</w:t>
      </w:r>
    </w:p>
    <w:p>
      <w:pPr>
        <w:keepNext/>
        <w:spacing w:after="80" w:before="160"/>
      </w:pPr>
      <w:r>
        <w:rPr>
          <w:rFonts w:ascii="Times New Roman" w:cs="Times New Roman" w:eastAsia="Times New Roman" w:hAnsi="Times New Roman"/>
          <w:b/>
          <w:bCs/>
          <w:i/>
          <w:iCs/>
          <w:sz w:val="20"/>
          <w:szCs w:val="20"/>
        </w:rPr>
        <w:t xml:space="preserve">C. Graph-Based Coordinated-Attack Detection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Individual-message analysis is known to miss coordinated campaigns that stay below per-sender thresholds. Graph-based correlation addresses this by modeling shared infrastructure — IPs, domains, relay hops — as edges connecting otherwise-independent malicious events, and using connected-component and centrality analysis to recover the underlying campaign structure; BotGraph applied this idea at scale to detect stealthy web-mail spamming botnets by graphing shared login and IP-usage patterns [14], and subsequent botnet-detection work has continued to use graph clustering and centrality features to separate coordinated malicious clusters from background traffic [11]. Sentinel's Phase 5 attack-graph correlator adapts this approach to the email domain, treating emails, IPs, domains, subnets, and Message-ID-generating hosts as typed nodes in a directed graph and classifying connected components of at least three email nodes as campaigns.</w:t>
      </w:r>
    </w:p>
    <w:p>
      <w:pPr>
        <w:keepNext/>
        <w:spacing w:after="80" w:before="160"/>
      </w:pPr>
      <w:r>
        <w:rPr>
          <w:rFonts w:ascii="Times New Roman" w:cs="Times New Roman" w:eastAsia="Times New Roman" w:hAnsi="Times New Roman"/>
          <w:b/>
          <w:bCs/>
          <w:i/>
          <w:iCs/>
          <w:sz w:val="20"/>
          <w:szCs w:val="20"/>
        </w:rPr>
        <w:t xml:space="preserve">D. Digital Twins for Behavioral Anomaly Detection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Digital-twin-based intrusion detection builds a synchronized behavioral model of a monitored entity and flags deviation from it; the approach has been used for knowledge-based intrusion detection in cyber-physical systems [13] and, more recently, combined with constrained LLM reasoning for interpretable anomaly explanation in industrial control settings [12]. Sentinel's Phase 2 Digital Twin applies the same anomaly-from-baseline principle to a sender identity rather than a physical process, and is deliberately restricted to hashed, coarsened, or aggregate-statistic representations of behavior — no raw address, full IP, or plaintext identifier is retained — so that the privacy properties motivating the metadata-only design in Section I extend to the profiling layer itself.</w:t>
      </w:r>
    </w:p>
    <w:p>
      <w:pPr>
        <w:keepNext/>
        <w:spacing w:after="80" w:before="160"/>
      </w:pPr>
      <w:r>
        <w:rPr>
          <w:rFonts w:ascii="Times New Roman" w:cs="Times New Roman" w:eastAsia="Times New Roman" w:hAnsi="Times New Roman"/>
          <w:b/>
          <w:bCs/>
          <w:i/>
          <w:iCs/>
          <w:sz w:val="20"/>
          <w:szCs w:val="20"/>
        </w:rPr>
        <w:t xml:space="preserve">E. Multi-Agent LLM Systems in Security Operations</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Decomposing a security-analysis task across multiple role-specialized LLM agents — rather than a single monolithic prompt — has recently been explored for vulnerability triage, incident response, and insider-threat detection, with reported benefits in interpretability and in catching threats that a single-pass classifier misses [15], [16], [17]. A three-agent architecture combining email verification, log analysis, and IP scanning has specifically been proposed for cross-domain threat correlation [15]. Sentinel's Phase 4 orchestrator follows this pattern with four narrowly scoped agents — forensic detection, risk fusion, explanation, and adversarial red-teaming — and, distinct from prior work, is designed to degrade gracefully to a deterministic rule engine that reproduces the same output schema when no LLM API key is configured, so that the pipeline remains fully operable without an external model dependency.</w:t>
      </w:r>
    </w:p>
    <w:p>
      <w:pPr>
        <w:keepNext/>
        <w:spacing w:after="80" w:before="160"/>
      </w:pPr>
      <w:r>
        <w:rPr>
          <w:rFonts w:ascii="Times New Roman" w:cs="Times New Roman" w:eastAsia="Times New Roman" w:hAnsi="Times New Roman"/>
          <w:b/>
          <w:bCs/>
          <w:i/>
          <w:iCs/>
          <w:sz w:val="20"/>
          <w:szCs w:val="20"/>
        </w:rPr>
        <w:t xml:space="preserve">F. Research Gap</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Taken together, the literature offers strong content-based classifiers, mature authentication-measurement methodology, graph techniques for campaign correlation, digital-twin anomaly detection, and early multi-agent LLM security architectures — but largely as separate lines of work, and predominantly under the assumption that the detector may read message content. Sentinel's contribution is to combine behavioral profiling, Bayesian attribution, multi-agent detection, graph correlation, and autonomous policy adaptation into a single pipeline that operates under the strictly narrower assumption of metadata-only access, and to report an operational evaluation of that pipeline under real-world load.</w:t>
      </w:r>
    </w:p>
    <w:p>
      <w:pPr>
        <w:keepNext/>
        <w:spacing w:after="140" w:before="240"/>
        <w:jc w:val="center"/>
      </w:pPr>
      <w:r>
        <w:rPr>
          <w:rFonts w:ascii="Times New Roman" w:cs="Times New Roman" w:eastAsia="Times New Roman" w:hAnsi="Times New Roman"/>
          <w:b/>
          <w:bCs/>
          <w:sz w:val="21"/>
          <w:szCs w:val="21"/>
        </w:rPr>
        <w:t xml:space="preserve">III. PROPOSED SYSTEM: ARCHITECTURE AND METHODOLOGY</w:t>
      </w:r>
    </w:p>
    <w:p>
      <w:pPr>
        <w:keepNext/>
        <w:spacing w:after="80" w:before="160"/>
      </w:pPr>
      <w:r>
        <w:rPr>
          <w:rFonts w:ascii="Times New Roman" w:cs="Times New Roman" w:eastAsia="Times New Roman" w:hAnsi="Times New Roman"/>
          <w:b/>
          <w:bCs/>
          <w:i/>
          <w:iCs/>
          <w:sz w:val="20"/>
          <w:szCs w:val="20"/>
        </w:rPr>
        <w:t xml:space="preserve">A. Design Principle: Metadata-Only Analysis</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Sentinel's governing constraint is that no layer of the system reads, parses, or stores the body, text/plain part, or text/html part of an email; only MIME-structure metadata such as attachment count, charset, and content-type is captured. This is enforced at the earliest stage of the pipeline (Phase 1) rather than by policy alone, so that no downstream component ever has access to content even if a later stage were compromised or misconfigured. The design is motivated by three properties: GDPR-relevant data minimization, since no personal message content is processed; compatibility with attorney-client and other privileged communication, since content is never read; and deployability inside end-to-end-encrypted mail flows, since headers and routing metadata are visible to a mail transfer agent even when the body is not.</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envelope of an email nonetheless carries substantial forensic signal that an attacker cannot forge without breaking delivery entirely. The Received relay chain cannot be fabricated without controlling every intermediate mail transfer agent; SPF, DKIM, and DMARC verdicts are computed independently by the receiving server and are DNS- or cryptographically verifiable; Date-header and per-hop timestamps leak timezone and behavioral information; and client-exposed headers such as X-Originating-IP frequently leak a webmail sender's real address even when a VPN is used for the delivery path itself.</w:t>
      </w:r>
    </w:p>
    <w:p>
      <w:pPr>
        <w:keepNext/>
        <w:spacing w:after="80" w:before="160"/>
      </w:pPr>
      <w:r>
        <w:rPr>
          <w:rFonts w:ascii="Times New Roman" w:cs="Times New Roman" w:eastAsia="Times New Roman" w:hAnsi="Times New Roman"/>
          <w:b/>
          <w:bCs/>
          <w:i/>
          <w:iCs/>
          <w:sz w:val="20"/>
          <w:szCs w:val="20"/>
        </w:rPr>
        <w:t xml:space="preserve">B. System Overview</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Sentinel processes each submitted .eml file through six sequential and partially parallel phases, illustrated in Fig. 1. Phase 1 (Email Parser) is the single entry point and extracts over thirty metadata fields. Its output fans out to Phase 2 (Digital Twin behavioral scoring) and Phase 3 (Bayesian attribution) in parallel; both feed Phase 4 (multi-agent risk orchestration), whose output feeds Phase 5 (attack-graph correlation) and Phase 6 (self-healing policy update) in parallel. The final decision — an action recommendation, a risk score, an attribution estimate, and a plain-language explanation — is broadcast over a WebSocket channel to a real-time dashboard.</w:t>
      </w:r>
    </w:p>
    <w:p>
      <w:pPr>
        <w:pBdr>
          <w:top w:val="single" w:color="999999" w:sz="4"/>
          <w:bottom w:val="single" w:color="999999" w:sz="4"/>
          <w:left w:val="single" w:color="999999" w:sz="4"/>
          <w:right w:val="single" w:color="999999" w:sz="4"/>
        </w:pBdr>
        <w:shd w:fill="F2F2F2" w:val="clear"/>
        <w:spacing w:after="140" w:before="60"/>
      </w:pPr>
      <w:r>
        <w:rPr>
          <w:rFonts w:ascii="Courier New" w:cs="Courier New" w:eastAsia="Courier New" w:hAnsi="Courier New"/>
          <w:sz w:val="14"/>
          <w:szCs w:val="14"/>
        </w:rPr>
        <w:t xml:space="preserve">  EML File / API Upload</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 PHASE 1 - Email Parser           |</w:t>
      </w:r>
      <w:r>
        <w:rPr>
          <w:rFonts w:ascii="Courier New" w:cs="Courier New" w:eastAsia="Courier New" w:hAnsi="Courier New"/>
          <w:sz w:val="14"/>
          <w:szCs w:val="14"/>
        </w:rPr>
        <w:br/>
        <w:t xml:space="preserve"> | 30+ forensic metadata fields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                          v</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PHASE 2  |            | PHASE 3      |</w:t>
      </w:r>
      <w:r>
        <w:rPr>
          <w:rFonts w:ascii="Courier New" w:cs="Courier New" w:eastAsia="Courier New" w:hAnsi="Courier New"/>
          <w:sz w:val="14"/>
          <w:szCs w:val="14"/>
        </w:rPr>
        <w:br/>
        <w:t xml:space="preserve"> | Digital  |            | Bayesian     |</w:t>
      </w:r>
      <w:r>
        <w:rPr>
          <w:rFonts w:ascii="Courier New" w:cs="Courier New" w:eastAsia="Courier New" w:hAnsi="Courier New"/>
          <w:sz w:val="14"/>
          <w:szCs w:val="14"/>
        </w:rPr>
        <w:br/>
        <w:t xml:space="preserve"> | Twin     |            | Attribution  |</w:t>
      </w:r>
      <w:r>
        <w:rPr>
          <w:rFonts w:ascii="Courier New" w:cs="Courier New" w:eastAsia="Courier New" w:hAnsi="Courier New"/>
          <w:sz w:val="14"/>
          <w:szCs w:val="14"/>
        </w:rPr>
        <w:br/>
        <w:t xml:space="preserve"> | (anomaly |            | (geo signal  |</w:t>
      </w:r>
      <w:r>
        <w:rPr>
          <w:rFonts w:ascii="Courier New" w:cs="Courier New" w:eastAsia="Courier New" w:hAnsi="Courier New"/>
          <w:sz w:val="14"/>
          <w:szCs w:val="14"/>
        </w:rPr>
        <w:br/>
        <w:t xml:space="preserve"> |  score)  |            |  fusion)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 PHASE 4            |</w:t>
      </w:r>
      <w:r>
        <w:rPr>
          <w:rFonts w:ascii="Courier New" w:cs="Courier New" w:eastAsia="Courier New" w:hAnsi="Courier New"/>
          <w:sz w:val="14"/>
          <w:szCs w:val="14"/>
        </w:rPr>
        <w:br/>
        <w:t xml:space="preserve">        | Multi-Agent         |</w:t>
      </w:r>
      <w:r>
        <w:rPr>
          <w:rFonts w:ascii="Courier New" w:cs="Courier New" w:eastAsia="Courier New" w:hAnsi="Courier New"/>
          <w:sz w:val="14"/>
          <w:szCs w:val="14"/>
        </w:rPr>
        <w:br/>
        <w:t xml:space="preserve">        | Orchestrator        |</w:t>
      </w:r>
      <w:r>
        <w:rPr>
          <w:rFonts w:ascii="Courier New" w:cs="Courier New" w:eastAsia="Courier New" w:hAnsi="Courier New"/>
          <w:sz w:val="14"/>
          <w:szCs w:val="14"/>
        </w:rPr>
        <w:br/>
        <w:t xml:space="preserve">        | (4 agents; LLM or   |</w:t>
      </w:r>
      <w:r>
        <w:rPr>
          <w:rFonts w:ascii="Courier New" w:cs="Courier New" w:eastAsia="Courier New" w:hAnsi="Courier New"/>
          <w:sz w:val="14"/>
          <w:szCs w:val="14"/>
        </w:rPr>
        <w:br/>
        <w:t xml:space="preserve">        |  rule-based)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                     v</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PHASE 5      |     | PHASE 6          |</w:t>
      </w:r>
      <w:r>
        <w:rPr>
          <w:rFonts w:ascii="Courier New" w:cs="Courier New" w:eastAsia="Courier New" w:hAnsi="Courier New"/>
          <w:sz w:val="14"/>
          <w:szCs w:val="14"/>
        </w:rPr>
        <w:br/>
        <w:t xml:space="preserve"> | Attack Graph |     | Self-Healing      |</w:t>
      </w:r>
      <w:r>
        <w:rPr>
          <w:rFonts w:ascii="Courier New" w:cs="Courier New" w:eastAsia="Courier New" w:hAnsi="Courier New"/>
          <w:sz w:val="14"/>
          <w:szCs w:val="14"/>
        </w:rPr>
        <w:br/>
        <w:t xml:space="preserve"> | (NetworkX)   |     | Engine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                      |</w:t>
      </w:r>
      <w:r>
        <w:rPr>
          <w:rFonts w:ascii="Courier New" w:cs="Courier New" w:eastAsia="Courier New" w:hAnsi="Courier New"/>
          <w:sz w:val="14"/>
          <w:szCs w:val="14"/>
        </w:rPr>
        <w:br/>
        <w:t xml:space="preserve">        +----------+-----------+</w:t>
      </w:r>
      <w:r>
        <w:rPr>
          <w:rFonts w:ascii="Courier New" w:cs="Courier New" w:eastAsia="Courier New" w:hAnsi="Courier New"/>
          <w:sz w:val="14"/>
          <w:szCs w:val="14"/>
        </w:rPr>
        <w:br/>
        <w:t xml:space="preserve">                   v</w:t>
      </w:r>
      <w:r>
        <w:rPr>
          <w:rFonts w:ascii="Courier New" w:cs="Courier New" w:eastAsia="Courier New" w:hAnsi="Courier New"/>
          <w:sz w:val="14"/>
          <w:szCs w:val="14"/>
        </w:rPr>
        <w:br/>
        <w:t xml:space="preserve">   Final Decision + WebSocket Broadcast</w:t>
      </w:r>
      <w:r>
        <w:rPr>
          <w:rFonts w:ascii="Courier New" w:cs="Courier New" w:eastAsia="Courier New" w:hAnsi="Courier New"/>
          <w:sz w:val="14"/>
          <w:szCs w:val="14"/>
        </w:rPr>
        <w:br/>
        <w:t xml:space="preserve">        -&gt; Real-time Dashboard</w:t>
      </w:r>
    </w:p>
    <w:p>
      <w:pPr>
        <w:spacing w:after="160" w:before="40"/>
        <w:jc w:val="center"/>
      </w:pPr>
      <w:r>
        <w:rPr>
          <w:rFonts w:ascii="Times New Roman" w:cs="Times New Roman" w:eastAsia="Times New Roman" w:hAnsi="Times New Roman"/>
          <w:i w:val="false"/>
          <w:iCs w:val="false"/>
          <w:sz w:val="16"/>
          <w:szCs w:val="16"/>
        </w:rPr>
        <w:t xml:space="preserve">Fig. 1.  Sentinel six-phase pipeline. Phases 2/3 run in parallel on Phase-1 output; Phases 5/6 run in parallel on Phase-4 output.</w:t>
      </w:r>
    </w:p>
    <w:p>
      <w:pPr>
        <w:keepNext/>
        <w:spacing w:after="80" w:before="160"/>
      </w:pPr>
      <w:r>
        <w:rPr>
          <w:rFonts w:ascii="Times New Roman" w:cs="Times New Roman" w:eastAsia="Times New Roman" w:hAnsi="Times New Roman"/>
          <w:b/>
          <w:bCs/>
          <w:i/>
          <w:iCs/>
          <w:sz w:val="20"/>
          <w:szCs w:val="20"/>
        </w:rPr>
        <w:t xml:space="preserve">C. Phase 1 — Email Parser</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The parser accepts raw RFC 5322 bytes and uses a standards-compliant MIME parser to walk the header block, explicitly skipping the body and all text/plain and text/html MIME parts. Extracted fields fall into seven categories: routing (the full Received chain, per-hop relay IP addresses and timestamps, hop count), identity (From, To, CC, BCC, Reply-To, and Return-Path, with mismatch flags between them), message identifiers (Message-ID domain, In-Reply-To, References chain), authentication (SPF, DKIM, and DMARC verdicts and ARC-chain integrity, parsed from the composite Authentication-Results header used by major mail providers), IP intelligence (X-Originating-IP, X-Sender-IP, X-Forwarded-For, handling both IPv4 and IPv6 including NAT-masked addresses), encoding (charset, Content-Type, MIME version, Content-Language), and client fingerprint (X-Mailer / User-Agent and version). This phase is the single point at which malformed or non-standard messages can fail — Section V quantifies this failure rate on the evaluation corpus.</w:t>
      </w:r>
    </w:p>
    <w:p>
      <w:pPr>
        <w:keepNext/>
        <w:spacing w:after="80" w:before="160"/>
      </w:pPr>
      <w:r>
        <w:rPr>
          <w:rFonts w:ascii="Times New Roman" w:cs="Times New Roman" w:eastAsia="Times New Roman" w:hAnsi="Times New Roman"/>
          <w:b/>
          <w:bCs/>
          <w:i/>
          <w:iCs/>
          <w:sz w:val="20"/>
          <w:szCs w:val="20"/>
        </w:rPr>
        <w:t xml:space="preserve">D. Phase 2 — Digital Twin Behavioral Profiling</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A Digital Twin is a persistent, privacy-preserving behavioral model of a legitimate sender identity, built incrementally from observed traffic. Seven dimensions are profiled, each stored in a form that discards raw identifiers: sending hour (a 24-slot UTC histogram), sending weekday (a 7-slot histogram), IP prefix (hashed and coarsened to a /24 subnet, never a full address), send frequency (a rolling 7-day count), sender domain (a frequency histogram), charset history (the set of observed encodings), and subject length (a mean/standard-deviation distribution). Contact-network information is stored only as SHA-256 hashes of recipient addresses. No raw email address, full IP address, or plaintext identifier is ever persisted in the twin.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Each incoming email is scored against its sender's twin on seven corresponding sub-scores — hour, day, IP-prefix, frequency, domain, charset, and subject-length anomaly — each normalized to [0, 1]; the IP and frequency sub-scores use Bayesian smoothing and rolling z-score normalization respectively to reduce cold-start false positives for senders with limited history. The sub-scores are fused by a fixed weighted sum:</w:t>
      </w:r>
    </w:p>
    <w:p>
      <w:pPr>
        <w:keepNext w:val="false"/>
        <w:spacing w:after="100" w:before="0" w:line="252" w:lineRule="auto"/>
        <w:jc w:val="center"/>
      </w:pPr>
      <w:r>
        <w:rPr>
          <w:rFonts w:ascii="Times New Roman" w:cs="Times New Roman" w:eastAsia="Times New Roman" w:hAnsi="Times New Roman"/>
          <w:b w:val="false"/>
          <w:bCs w:val="false"/>
          <w:i/>
          <w:iCs/>
          <w:sz w:val="20"/>
          <w:szCs w:val="20"/>
        </w:rPr>
        <w:t xml:space="preserve">anomaly = 0.20·hour + 0.15·day + 0.25·IP + 0.15·freq + 0.10·domain + 0.10·charset + 0.05·subject</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with weights set heuristically to reflect that IP-prefix and sending-time deviations are the strongest indicators of account takeover or spoofing observed during development. An anomaly score above 0.50 elevates an email for additional scrutiny in Phase 4; a score above 0.70 is treated as a trigger condition for the Phase 6 self-healing engine.</w:t>
      </w:r>
    </w:p>
    <w:p>
      <w:pPr>
        <w:keepNext/>
        <w:spacing w:after="80" w:before="160"/>
      </w:pPr>
      <w:r>
        <w:rPr>
          <w:rFonts w:ascii="Times New Roman" w:cs="Times New Roman" w:eastAsia="Times New Roman" w:hAnsi="Times New Roman"/>
          <w:b/>
          <w:bCs/>
          <w:i/>
          <w:iCs/>
          <w:sz w:val="20"/>
          <w:szCs w:val="20"/>
        </w:rPr>
        <w:t xml:space="preserve">E. Phase 3 — Bayesian Attribution Engine</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Attackers routinely use VPNs, Tor exit nodes, and residential proxies to mask their point of origin, so a single IP-geolocation lookup is unreliable as evidence. Sentinel instead fuses eight independent signals — X-Originating-IP geolocation, Received-chain relay-IP geolocation, the UTC offset in the Date header, charset/MIME encoding as a regional indicator, domain-registrar/TLD geolocation, keyboard-layout artifacts in header text, ASN-to-nation mapping, and inter-hop relay latency as a proxy for geographic distance — using Bayesian posterior updating. For each candidate country c and each signal s, the posterior is updated proportionally to P(c | s) ∝ P(s | c) · P(c), beginning from a uniform prior and applying each signal's likelihood in turn; the country with the highest posterior after all signals is reported as the top attribution, with confidence expressed as the margin between the top-1 and top-2 posteriors.</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rationale for fusing many weak, largely independent signals rather than relying on IP alone is that timezone offset, charset choice, and TLD/registrar geography are difficult for an attacker to alter simultaneously and consistently while a VPN masks only the network-layer origin; defeating attribution therefore requires defeating all eight signals at once rather than a single lookup.</w:t>
      </w:r>
    </w:p>
    <w:p>
      <w:pPr>
        <w:keepNext/>
        <w:spacing w:after="80" w:before="160"/>
      </w:pPr>
      <w:r>
        <w:rPr>
          <w:rFonts w:ascii="Times New Roman" w:cs="Times New Roman" w:eastAsia="Times New Roman" w:hAnsi="Times New Roman"/>
          <w:b/>
          <w:bCs/>
          <w:i/>
          <w:iCs/>
          <w:sz w:val="20"/>
          <w:szCs w:val="20"/>
        </w:rPr>
        <w:t xml:space="preserve">F. Phase 4 — Multi-Agent Orchestration</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Four role-specialized agents run in a fixed sequential pipeline. When an LLM API key is configured, each agent uses natural-language reasoning; without one, each agent falls back to a deterministic rule engine that produces an identical output schema, so the pipeline's behavior is fully specified even without an external model dependency.</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Detection Agent acts as a forensic analyst, applying eleven-plus rule checks — SPF/DKIM/DMARC failure or soft-failure, missing or invalid DKIM signatures, DMARC policy failure, From/Return-Path domain mismatch (display-name spoofing), Message-ID domain mismatch, an unusually low relay-hop count (a signature of header stripping), known malicious IP/domain patterns, Levenshtein-proximity lookalike-domain detection, urgency keywords in the subject line, executable MIME-type attachments, and Reply-To/From domain mismatch (reply hijacking) — and outputs a 0–100 detection score with supporting evidence.</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Risk Scoring Agent fuses the detection score with the Phase 2 anomaly score:</w:t>
      </w:r>
    </w:p>
    <w:p>
      <w:pPr>
        <w:keepNext w:val="false"/>
        <w:spacing w:after="100" w:before="0" w:line="252" w:lineRule="auto"/>
        <w:jc w:val="center"/>
      </w:pPr>
      <w:r>
        <w:rPr>
          <w:rFonts w:ascii="Times New Roman" w:cs="Times New Roman" w:eastAsia="Times New Roman" w:hAnsi="Times New Roman"/>
          <w:b w:val="false"/>
          <w:bCs w:val="false"/>
          <w:i/>
          <w:iCs/>
          <w:sz w:val="20"/>
          <w:szCs w:val="20"/>
        </w:rPr>
        <w:t xml:space="preserve">risk = 0.6 × detection_score + 0.4 × (anomaly_score × 100)</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and maps the result to a severity band and recommended action: 0–35 (LOW) → ALLOW, 35–50 (MEDIUM) → REVIEW, 50–75 (HIGH) → ALERT, and 75–100 (CRITICAL) → QUARANTINE. The Explanation Agent then generates a two-to-three sentence, jargon-free rationale for the end user (e.g., noting a failed authentication check and an unusual sending time, with a concrete recommended action). The Adversarial Agent, finally, acts as a red-team challenger: it simulates evasion techniques against the current findings — timezone manipulation, cousin-domain substitution, IP rotation — and its output feeds directly into Phase 6, forming a continuous adversarial co-evolution loop between detection and defense.</w:t>
      </w:r>
    </w:p>
    <w:p>
      <w:pPr>
        <w:keepNext/>
        <w:spacing w:after="80" w:before="160"/>
      </w:pPr>
      <w:r>
        <w:rPr>
          <w:rFonts w:ascii="Times New Roman" w:cs="Times New Roman" w:eastAsia="Times New Roman" w:hAnsi="Times New Roman"/>
          <w:b/>
          <w:bCs/>
          <w:i/>
          <w:iCs/>
          <w:sz w:val="20"/>
          <w:szCs w:val="20"/>
        </w:rPr>
        <w:t xml:space="preserve">G. Phase 5 — Attack Graph Correlator</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Individual-message analysis is structurally blind to campaigns that spread thousands of emails across rotating infrastructure over an extended period, since no single email in isolation crosses a high-risk threshold. Sentinel builds a directed graph, using NetworkX, in which every analyzed email injects typed nodes — email, ip, domain, subnet (the anonymized /24 prefix), and msgid_domain — connected by sent-from, sent-by, belongs-to, and message-ID-domain edges. Connected components containing at least three email nodes are classified as campaigns, and for each campaign the correlator computes degree centrality (identifying the most connected attacker-infrastructure node), betweenness centrality (identifying critical relay hubs), first-seen/last-seen timestamps, attack velocity, and geographic span drawn from Phase 3 attribution. This allows individual emails to be attributed to a coordinated actor even as IPs rotate and domains change between sends.</w:t>
      </w:r>
    </w:p>
    <w:p>
      <w:pPr>
        <w:keepNext/>
        <w:spacing w:after="80" w:before="160"/>
      </w:pPr>
      <w:r>
        <w:rPr>
          <w:rFonts w:ascii="Times New Roman" w:cs="Times New Roman" w:eastAsia="Times New Roman" w:hAnsi="Times New Roman"/>
          <w:b/>
          <w:bCs/>
          <w:i/>
          <w:iCs/>
          <w:sz w:val="20"/>
          <w:szCs w:val="20"/>
        </w:rPr>
        <w:t xml:space="preserve">H. Phase 6 — Self-Healing Policy Engine</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Traditional email-security tools require a human to push a new rule after each newly observed attack pattern. Sentinel's self-healing engine instead updates its own policy state autonomously and in real time from confirmed detections and from the Adversarial Agent's findings. A risk score at or above 75 auto-adds the sender domain and originating IP to the respective blocklists; a confirmed timezone-evasion finding expands the suspicious-hours matrix; a confirmed cousin-domain finding tightens the anomaly threshold by 0.03; and an anomaly spike above 0.70 lowers the global anomaly threshold by 0.05. Every healing action is appended to an immutable audit trail and exposed through a policy-state API endpoint and dashboard panel, so autonomous changes remain fully auditable even though they require no manual approval to take effect.</w:t>
      </w:r>
    </w:p>
    <w:p>
      <w:pPr>
        <w:keepNext/>
        <w:spacing w:after="140" w:before="240"/>
        <w:jc w:val="center"/>
      </w:pPr>
      <w:r>
        <w:rPr>
          <w:rFonts w:ascii="Times New Roman" w:cs="Times New Roman" w:eastAsia="Times New Roman" w:hAnsi="Times New Roman"/>
          <w:b/>
          <w:bCs/>
          <w:sz w:val="21"/>
          <w:szCs w:val="21"/>
        </w:rPr>
        <w:t xml:space="preserve">IV. EXPERIMENTAL SETUP</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Sentinel is implemented as a FastAPI backend with a Next.js 14 dashboard front end. FastAPI was chosen for its async-native request handling, automatic OpenAPI/Swagger documentation, and built-in WebSocket support, roughly three times faster in request throughput than a comparable synchronous Flask deployment for this workload. Pydantic v2 provides strict schema validation across all data models. NetworkX supplies the production graph algorithms (connected components, degree and betweenness centrality) used in Phase 5. NumPy vectorizes the probability computations in Phases 2 and 3. Multi-agent orchestration in Phase 4 uses the CrewAI framework, with role-based prompting and task chaining when an OpenAI API key is supplied, and a deterministic rule-engine fallback otherwise. The front end uses D3.js for force-directed attack-graph rendering and Recharts for statistical panels, communicating with the backend over WebSockets for live updates. The design targets MongoDB for persistent storage of Digital Twin profiles, graph state, and the healing audit log; the evaluation reported here ran against in-memory state.</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The evaluation corpus is EPVME (Email Phishing and Vulnerability Metadata Engine), a curated academic collection of real-world phishing and legitimate emails used in email-security research; folder 3 of the corpus, comprising 7,446 messages and labeled as phishing, was used for this run. Emails were submitted to the /analyze/batch endpoint with 20 concurrent asynchronous HTTP workers. Because the corpus is single-class, the evaluation reported below is operational rather than a classification-metric study: we report parser robustness, throughput, the distribution of risk-based actions the pipeline assigned, and the number and structure of campaigns the graph correlator recovered, and we return to what a properly controlled, balanced classification study would additionally require in Section V-E.</w:t>
      </w:r>
    </w:p>
    <w:p>
      <w:pPr>
        <w:spacing w:after="160" w:before="40"/>
        <w:jc w:val="center"/>
      </w:pPr>
      <w:r>
        <w:rPr>
          <w:rFonts w:ascii="Times New Roman" w:cs="Times New Roman" w:eastAsia="Times New Roman" w:hAnsi="Times New Roman"/>
          <w:i w:val="false"/>
          <w:iCs w:val="false"/>
          <w:sz w:val="16"/>
          <w:szCs w:val="16"/>
        </w:rPr>
        <w:t xml:space="preserve">Table I.  Bulk evaluation run statistics — EPVME corpus, folder 3 (n = 7,446).</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2600"/>
        <w:gridCol w:w="2080"/>
      </w:tblGrid>
      <w:tr>
        <w:trPr>
          <w:cantSplit/>
          <w:tblHeader/>
        </w:trPr>
        <w:tc>
          <w:tcPr>
            <w:tcW w:type="dxa" w:w="26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Metric</w:t>
            </w:r>
          </w:p>
        </w:tc>
        <w:tc>
          <w:tcPr>
            <w:tcW w:type="dxa" w:w="208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Value</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Total emails submitted</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7,446</w:t>
            </w:r>
          </w:p>
        </w:tc>
      </w:tr>
      <w:tr>
        <w:trPr>
          <w:cantSplit/>
        </w:trPr>
        <w:tc>
          <w:tcPr>
            <w:tcW w:type="dxa" w:w="2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Successfully analyzed</w:t>
            </w:r>
          </w:p>
        </w:tc>
        <w:tc>
          <w:tcPr>
            <w:tcW w:type="dxa" w:w="20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6,741 (90.53%)</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Parser/API errors (HTTP 500)</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705 (9.47%)</w:t>
            </w:r>
          </w:p>
        </w:tc>
      </w:tr>
      <w:tr>
        <w:trPr>
          <w:cantSplit/>
        </w:trPr>
        <w:tc>
          <w:tcPr>
            <w:tcW w:type="dxa" w:w="2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Wall-clock processing time</w:t>
            </w:r>
          </w:p>
        </w:tc>
        <w:tc>
          <w:tcPr>
            <w:tcW w:type="dxa" w:w="20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461.4 s</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Throughput (20 async workers)</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16.1 emails/s</w:t>
            </w:r>
          </w:p>
        </w:tc>
      </w:tr>
      <w:tr>
        <w:trPr>
          <w:cantSplit/>
        </w:trPr>
        <w:tc>
          <w:tcPr>
            <w:tcW w:type="dxa" w:w="2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Average risk score</w:t>
            </w:r>
          </w:p>
        </w:tc>
        <w:tc>
          <w:tcPr>
            <w:tcW w:type="dxa" w:w="20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29.17 / 100</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Maximum risk score observed</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61.0 / 100</w:t>
            </w:r>
          </w:p>
        </w:tc>
      </w:tr>
      <w:tr>
        <w:trPr>
          <w:cantSplit/>
        </w:trPr>
        <w:tc>
          <w:tcPr>
            <w:tcW w:type="dxa" w:w="2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Average end-to-end latency</w:t>
            </w:r>
          </w:p>
        </w:tc>
        <w:tc>
          <w:tcPr>
            <w:tcW w:type="dxa" w:w="20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1,238 ms / email</w:t>
            </w:r>
          </w:p>
        </w:tc>
      </w:tr>
      <w:tr>
        <w:trPr>
          <w:cantSplit/>
        </w:trPr>
        <w:tc>
          <w:tcPr>
            <w:tcW w:type="dxa" w:w="2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Coordinated campaigns detected</w:t>
            </w:r>
          </w:p>
        </w:tc>
        <w:tc>
          <w:tcPr>
            <w:tcW w:type="dxa" w:w="20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4,644</w:t>
            </w:r>
          </w:p>
        </w:tc>
      </w:tr>
    </w:tbl>
    <w:p>
      <w:pPr>
        <w:spacing w:after="160"/>
      </w:pPr>
    </w:p>
    <w:p>
      <w:pPr>
        <w:keepNext/>
        <w:spacing w:after="140" w:before="240"/>
        <w:jc w:val="center"/>
      </w:pPr>
      <w:r>
        <w:rPr>
          <w:rFonts w:ascii="Times New Roman" w:cs="Times New Roman" w:eastAsia="Times New Roman" w:hAnsi="Times New Roman"/>
          <w:b/>
          <w:bCs/>
          <w:sz w:val="21"/>
          <w:szCs w:val="21"/>
        </w:rPr>
        <w:t xml:space="preserve">V. RESULTS AND DISCUSSION</w:t>
      </w:r>
    </w:p>
    <w:p>
      <w:pPr>
        <w:keepNext/>
        <w:spacing w:after="80" w:before="160"/>
      </w:pPr>
      <w:r>
        <w:rPr>
          <w:rFonts w:ascii="Times New Roman" w:cs="Times New Roman" w:eastAsia="Times New Roman" w:hAnsi="Times New Roman"/>
          <w:b/>
          <w:bCs/>
          <w:i/>
          <w:iCs/>
          <w:sz w:val="20"/>
          <w:szCs w:val="20"/>
        </w:rPr>
        <w:t xml:space="preserve">A. Operational Performance</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Table I summarizes the bulk run. Sentinel successfully parsed and analyzed 6,741 of 7,446 submitted emails (90.53%) in 461.4 seconds, a throughput of 16.1 emails/second under 20 concurrent async HTTP workers, with an average end-to-end latency of 1,238 ms per email through all six phases. Because the multi-agent Phase 4 step accounts for the majority of this latency when an LLM call is in the loop (roughly 800 ms in the rule-fallback configuration, and higher with a live LLM call), we expect a production deployment invoking the analysis pipeline directly rather than over HTTP, and executing Phase-4 agents asynchronously, to reach 50–200 emails/second on comparable hardware.</w:t>
      </w:r>
    </w:p>
    <w:p>
      <w:pPr>
        <w:keepNext/>
        <w:spacing w:after="80" w:before="160"/>
      </w:pPr>
      <w:r>
        <w:rPr>
          <w:rFonts w:ascii="Times New Roman" w:cs="Times New Roman" w:eastAsia="Times New Roman" w:hAnsi="Times New Roman"/>
          <w:b/>
          <w:bCs/>
          <w:i/>
          <w:iCs/>
          <w:sz w:val="20"/>
          <w:szCs w:val="20"/>
        </w:rPr>
        <w:t xml:space="preserve">B. Action Distribution and Threshold Behavior</w:t>
      </w:r>
    </w:p>
    <w:p>
      <w:pPr>
        <w:spacing w:after="160" w:before="40"/>
        <w:jc w:val="center"/>
      </w:pPr>
      <w:r>
        <w:rPr>
          <w:rFonts w:ascii="Times New Roman" w:cs="Times New Roman" w:eastAsia="Times New Roman" w:hAnsi="Times New Roman"/>
          <w:i w:val="false"/>
          <w:iCs w:val="false"/>
          <w:sz w:val="16"/>
          <w:szCs w:val="16"/>
        </w:rPr>
        <w:t xml:space="preserve">Table II.  Distribution of risk-based actions assigned across the 6,741 successfully analyzed emails.</w:t>
      </w:r>
    </w:p>
    <w:tbl>
      <w:tblPr>
        <w:tblW w:type="dxa" w:w="4680"/>
        <w:tblBorders>
          <w:top w:val="single" w:color="auto" w:sz="4"/>
          <w:left w:val="single" w:color="auto" w:sz="4"/>
          <w:bottom w:val="single" w:color="auto" w:sz="4"/>
          <w:right w:val="single" w:color="auto" w:sz="4"/>
          <w:insideH w:val="single" w:color="auto" w:sz="4"/>
          <w:insideV w:val="single" w:color="auto" w:sz="4"/>
        </w:tblBorders>
      </w:tblPr>
      <w:tblGrid>
        <w:gridCol w:w="1560"/>
        <w:gridCol w:w="1520"/>
        <w:gridCol w:w="1600"/>
      </w:tblGrid>
      <w:tr>
        <w:trPr>
          <w:cantSplit/>
          <w:tblHeader/>
        </w:trPr>
        <w:tc>
          <w:tcPr>
            <w:tcW w:type="dxa" w:w="156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Action</w:t>
            </w:r>
          </w:p>
        </w:tc>
        <w:tc>
          <w:tcPr>
            <w:tcW w:type="dxa" w:w="152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Count</w:t>
            </w:r>
          </w:p>
        </w:tc>
        <w:tc>
          <w:tcPr>
            <w:tcW w:type="dxa" w:w="16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Share</w:t>
            </w:r>
          </w:p>
        </w:tc>
      </w:tr>
      <w:tr>
        <w:trPr>
          <w:cantSplit/>
        </w:trPr>
        <w:tc>
          <w:tcPr>
            <w:tcW w:type="dxa" w:w="156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REVIEW</w:t>
            </w:r>
          </w:p>
        </w:tc>
        <w:tc>
          <w:tcPr>
            <w:tcW w:type="dxa" w:w="1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6,655</w:t>
            </w:r>
          </w:p>
        </w:tc>
        <w:tc>
          <w:tcPr>
            <w:tcW w:type="dxa" w:w="1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98.7%</w:t>
            </w:r>
          </w:p>
        </w:tc>
      </w:tr>
      <w:tr>
        <w:trPr>
          <w:cantSplit/>
        </w:trPr>
        <w:tc>
          <w:tcPr>
            <w:tcW w:type="dxa" w:w="156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ALLOW</w:t>
            </w:r>
          </w:p>
        </w:tc>
        <w:tc>
          <w:tcPr>
            <w:tcW w:type="dxa" w:w="152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80</w:t>
            </w:r>
          </w:p>
        </w:tc>
        <w:tc>
          <w:tcPr>
            <w:tcW w:type="dxa" w:w="1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1.2%</w:t>
            </w:r>
          </w:p>
        </w:tc>
      </w:tr>
      <w:tr>
        <w:trPr>
          <w:cantSplit/>
        </w:trPr>
        <w:tc>
          <w:tcPr>
            <w:tcW w:type="dxa" w:w="156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ALERT</w:t>
            </w:r>
          </w:p>
        </w:tc>
        <w:tc>
          <w:tcPr>
            <w:tcW w:type="dxa" w:w="1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6</w:t>
            </w:r>
          </w:p>
        </w:tc>
        <w:tc>
          <w:tcPr>
            <w:tcW w:type="dxa" w:w="16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0.09%</w:t>
            </w:r>
          </w:p>
        </w:tc>
      </w:tr>
      <w:tr>
        <w:trPr>
          <w:cantSplit/>
        </w:trPr>
        <w:tc>
          <w:tcPr>
            <w:tcW w:type="dxa" w:w="156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QUARANTINE</w:t>
            </w:r>
          </w:p>
        </w:tc>
        <w:tc>
          <w:tcPr>
            <w:tcW w:type="dxa" w:w="152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w:t>
            </w:r>
          </w:p>
        </w:tc>
        <w:tc>
          <w:tcPr>
            <w:tcW w:type="dxa" w:w="16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0.00%</w:t>
            </w:r>
          </w:p>
        </w:tc>
      </w:tr>
    </w:tbl>
    <w:p>
      <w:pPr>
        <w:spacing w:after="160"/>
      </w:pP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Table II shows the distribution of risk-based actions. 98.7% of successfully analyzed emails were escalated to REVIEW; since the evaluation corpus is entirely labeled phishing, this is the expected and correct behavior — the system consistently flagged the malicious traffic rather than silently allowing it. The maximum risk score observed across the run was 61.0 out of 100, below the 75-point QUARANTINE threshold, indicating that this folder of the corpus consists predominantly of mid-confidence phishing rather than highly aggressive BEC attempts; the conservative, intentionally high QUARANTINE threshold is designed to minimize false auto-blocks of legitimate mail at the cost of not auto-quarantining mid-confidence samples. Consistent with this, zero self-healing block events were triggered during the run, since none of the analyzed emails crossed the 75-point condition that arms the auto-blocklisting rule in Phase 6 — expected behavior for a corpus of this composition rather than evidence of a healing-engine defect.</w:t>
      </w:r>
    </w:p>
    <w:p>
      <w:pPr>
        <w:keepNext/>
        <w:spacing w:after="80" w:before="160"/>
      </w:pPr>
      <w:r>
        <w:rPr>
          <w:rFonts w:ascii="Times New Roman" w:cs="Times New Roman" w:eastAsia="Times New Roman" w:hAnsi="Times New Roman"/>
          <w:b/>
          <w:bCs/>
          <w:i/>
          <w:iCs/>
          <w:sz w:val="20"/>
          <w:szCs w:val="20"/>
        </w:rPr>
        <w:t xml:space="preserve">C. Campaign Correlation</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The Phase 5 attack-graph correlator identified 4,644 connected components of at least three email nodes, indicating that a substantial fraction of the corpus shares sending infrastructure — IPs, domains, or relay hops — consistent with coordinated sending operations rather than fully independent phishing attempts. This is the result that a per-email classifier, however accurate, cannot in principle surface: campaign membership is a property of the relationships between messages, not of any single message's content or headers.</w:t>
      </w:r>
    </w:p>
    <w:p>
      <w:pPr>
        <w:keepNext/>
        <w:spacing w:after="80" w:before="160"/>
      </w:pPr>
      <w:r>
        <w:rPr>
          <w:rFonts w:ascii="Times New Roman" w:cs="Times New Roman" w:eastAsia="Times New Roman" w:hAnsi="Times New Roman"/>
          <w:b/>
          <w:bCs/>
          <w:i/>
          <w:iCs/>
          <w:sz w:val="20"/>
          <w:szCs w:val="20"/>
        </w:rPr>
        <w:t xml:space="preserve">D. Comparison with State-of-the-Art</w:t>
      </w:r>
    </w:p>
    <w:p>
      <w:pPr>
        <w:spacing w:after="160" w:before="40"/>
        <w:jc w:val="center"/>
      </w:pPr>
      <w:r>
        <w:rPr>
          <w:rFonts w:ascii="Times New Roman" w:cs="Times New Roman" w:eastAsia="Times New Roman" w:hAnsi="Times New Roman"/>
          <w:i w:val="false"/>
          <w:iCs w:val="false"/>
          <w:sz w:val="16"/>
          <w:szCs w:val="16"/>
        </w:rPr>
        <w:t xml:space="preserve">Table III.  Qualitative comparison with content-based state-of-the-art phishing/BEC classifiers. Sentinel and the compared systems are evaluated under different assumptions (metadata-only vs. full-content access) and are not numerically comparable on a shared metric; see Section V-D.</w:t>
      </w:r>
    </w:p>
    <w:tbl>
      <w:tblPr>
        <w:tblW w:type="dxa" w:w="4930"/>
        <w:tblBorders>
          <w:top w:val="single" w:color="auto" w:sz="4"/>
          <w:left w:val="single" w:color="auto" w:sz="4"/>
          <w:bottom w:val="single" w:color="auto" w:sz="4"/>
          <w:right w:val="single" w:color="auto" w:sz="4"/>
          <w:insideH w:val="single" w:color="auto" w:sz="4"/>
          <w:insideV w:val="single" w:color="auto" w:sz="4"/>
        </w:tblBorders>
      </w:tblPr>
      <w:tblGrid>
        <w:gridCol w:w="1400"/>
        <w:gridCol w:w="1750"/>
        <w:gridCol w:w="1780"/>
      </w:tblGrid>
      <w:tr>
        <w:trPr>
          <w:cantSplit/>
          <w:tblHeader/>
        </w:trPr>
        <w:tc>
          <w:tcPr>
            <w:tcW w:type="dxa" w:w="140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Dimension</w:t>
            </w:r>
          </w:p>
        </w:tc>
        <w:tc>
          <w:tcPr>
            <w:tcW w:type="dxa" w:w="17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Content-based ML classifiers [7]-[10]</w:t>
            </w:r>
          </w:p>
        </w:tc>
        <w:tc>
          <w:tcPr>
            <w:tcW w:type="dxa" w:w="178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Sentinel (this work)</w:t>
            </w:r>
          </w:p>
        </w:tc>
      </w:tr>
      <w:tr>
        <w:trPr>
          <w:cantSplit/>
        </w:trPr>
        <w:tc>
          <w:tcPr>
            <w:tcW w:type="dxa" w:w="14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Data accessed</w:t>
            </w:r>
          </w:p>
        </w:tc>
        <w:tc>
          <w:tcPr>
            <w:tcW w:type="dxa" w:w="17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Full message body / URLs</w:t>
            </w:r>
          </w:p>
        </w:tc>
        <w:tc>
          <w:tcPr>
            <w:tcW w:type="dxa" w:w="17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Headers, routing, auth. only</w:t>
            </w:r>
          </w:p>
        </w:tc>
      </w:tr>
      <w:tr>
        <w:trPr>
          <w:cantSplit/>
        </w:trPr>
        <w:tc>
          <w:tcPr>
            <w:tcW w:type="dxa" w:w="14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Reported metric</w:t>
            </w:r>
          </w:p>
        </w:tc>
        <w:tc>
          <w:tcPr>
            <w:tcW w:type="dxa" w:w="17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Accuracy / F1 on balanced sets</w:t>
            </w:r>
          </w:p>
        </w:tc>
        <w:tc>
          <w:tcPr>
            <w:tcW w:type="dxa" w:w="17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Operational throughput, action distribution</w:t>
            </w:r>
          </w:p>
        </w:tc>
      </w:tr>
      <w:tr>
        <w:trPr>
          <w:cantSplit/>
        </w:trPr>
        <w:tc>
          <w:tcPr>
            <w:tcW w:type="dxa" w:w="14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GDPR / privilege posture</w:t>
            </w:r>
          </w:p>
        </w:tc>
        <w:tc>
          <w:tcPr>
            <w:tcW w:type="dxa" w:w="17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Processes personal content</w:t>
            </w:r>
          </w:p>
        </w:tc>
        <w:tc>
          <w:tcPr>
            <w:tcW w:type="dxa" w:w="17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content ever read or stored</w:t>
            </w:r>
          </w:p>
        </w:tc>
      </w:tr>
      <w:tr>
        <w:trPr>
          <w:cantSplit/>
        </w:trPr>
        <w:tc>
          <w:tcPr>
            <w:tcW w:type="dxa" w:w="14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E2E-encrypted mail</w:t>
            </w:r>
          </w:p>
        </w:tc>
        <w:tc>
          <w:tcPr>
            <w:tcW w:type="dxa" w:w="17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usable</w:t>
            </w:r>
          </w:p>
        </w:tc>
        <w:tc>
          <w:tcPr>
            <w:tcW w:type="dxa" w:w="17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Usable (metadata unaffected)</w:t>
            </w:r>
          </w:p>
        </w:tc>
      </w:tr>
      <w:tr>
        <w:trPr>
          <w:cantSplit/>
        </w:trPr>
        <w:tc>
          <w:tcPr>
            <w:tcW w:type="dxa" w:w="14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Coordinated-campaign view</w:t>
            </w:r>
          </w:p>
        </w:tc>
        <w:tc>
          <w:tcPr>
            <w:tcW w:type="dxa" w:w="17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Per-email only (typical)</w:t>
            </w:r>
          </w:p>
        </w:tc>
        <w:tc>
          <w:tcPr>
            <w:tcW w:type="dxa" w:w="17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Graph correlation across senders</w:t>
            </w:r>
          </w:p>
        </w:tc>
      </w:tr>
      <w:tr>
        <w:trPr>
          <w:cantSplit/>
        </w:trPr>
        <w:tc>
          <w:tcPr>
            <w:tcW w:type="dxa" w:w="140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Policy adaptation</w:t>
            </w:r>
          </w:p>
        </w:tc>
        <w:tc>
          <w:tcPr>
            <w:tcW w:type="dxa" w:w="17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Requires retraining/redeploy</w:t>
            </w:r>
          </w:p>
        </w:tc>
        <w:tc>
          <w:tcPr>
            <w:tcW w:type="dxa" w:w="178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Autonomous, audited self-healing</w:t>
            </w:r>
          </w:p>
        </w:tc>
      </w:tr>
      <w:tr>
        <w:trPr>
          <w:cantSplit/>
        </w:trPr>
        <w:tc>
          <w:tcPr>
            <w:tcW w:type="dxa" w:w="140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Attacker attribution</w:t>
            </w:r>
          </w:p>
        </w:tc>
        <w:tc>
          <w:tcPr>
            <w:tcW w:type="dxa" w:w="17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Not typically addressed</w:t>
            </w:r>
          </w:p>
        </w:tc>
        <w:tc>
          <w:tcPr>
            <w:tcW w:type="dxa" w:w="178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8-signal Bayesian fusion</w:t>
            </w:r>
          </w:p>
        </w:tc>
      </w:tr>
    </w:tbl>
    <w:p>
      <w:pPr>
        <w:spacing w:after="160"/>
      </w:pP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Table III situates Sentinel qualitatively against content-based classifiers reporting high accuracy on curated corpora [7]–[10]. The comparison is deliberately qualitative rather than a shared-metric leaderboard: metadata-only and content-based systems operate under different information constraints and are evaluated against different objectives, so an accuracy or F1 figure computed for one is not commensurable with the other without controlling for the corpus, class balance, and the decision task (binary label versus graded risk action). What Sentinel demonstrates that content-based classifiers as typically evaluated do not is operation without content access, cross-message campaign correlation, autonomous policy adaptation, and built-in attacker attribution — properties that matter for deployment in privacy-constrained or encrypted-mail settings, independent of any single accuracy number.</w:t>
      </w:r>
    </w:p>
    <w:p>
      <w:pPr>
        <w:keepNext/>
        <w:spacing w:after="80" w:before="160"/>
      </w:pPr>
      <w:r>
        <w:rPr>
          <w:rFonts w:ascii="Times New Roman" w:cs="Times New Roman" w:eastAsia="Times New Roman" w:hAnsi="Times New Roman"/>
          <w:b/>
          <w:bCs/>
          <w:i/>
          <w:iCs/>
          <w:sz w:val="20"/>
          <w:szCs w:val="20"/>
        </w:rPr>
        <w:t xml:space="preserve">E. Limitations</w:t>
      </w:r>
    </w:p>
    <w:p>
      <w:pPr>
        <w:spacing w:after="160" w:before="40"/>
        <w:jc w:val="center"/>
      </w:pPr>
      <w:r>
        <w:rPr>
          <w:rFonts w:ascii="Times New Roman" w:cs="Times New Roman" w:eastAsia="Times New Roman" w:hAnsi="Times New Roman"/>
          <w:i w:val="false"/>
          <w:iCs w:val="false"/>
          <w:sz w:val="16"/>
          <w:szCs w:val="16"/>
        </w:rPr>
        <w:t xml:space="preserve">Table IV.  Current limitations identified during evaluation and their planned mitigations.</w:t>
      </w:r>
    </w:p>
    <w:tbl>
      <w:tblPr>
        <w:tblW w:type="dxa" w:w="4930"/>
        <w:tblBorders>
          <w:top w:val="single" w:color="auto" w:sz="4"/>
          <w:left w:val="single" w:color="auto" w:sz="4"/>
          <w:bottom w:val="single" w:color="auto" w:sz="4"/>
          <w:right w:val="single" w:color="auto" w:sz="4"/>
          <w:insideH w:val="single" w:color="auto" w:sz="4"/>
          <w:insideV w:val="single" w:color="auto" w:sz="4"/>
        </w:tblBorders>
      </w:tblPr>
      <w:tblGrid>
        <w:gridCol w:w="520"/>
        <w:gridCol w:w="1550"/>
        <w:gridCol w:w="1450"/>
        <w:gridCol w:w="1410"/>
      </w:tblGrid>
      <w:tr>
        <w:trPr>
          <w:cantSplit/>
          <w:tblHeader/>
        </w:trPr>
        <w:tc>
          <w:tcPr>
            <w:tcW w:type="dxa" w:w="52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w:t>
            </w:r>
          </w:p>
        </w:tc>
        <w:tc>
          <w:tcPr>
            <w:tcW w:type="dxa" w:w="15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Limitation</w:t>
            </w:r>
          </w:p>
        </w:tc>
        <w:tc>
          <w:tcPr>
            <w:tcW w:type="dxa" w:w="145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Impact</w:t>
            </w:r>
          </w:p>
        </w:tc>
        <w:tc>
          <w:tcPr>
            <w:tcW w:type="dxa" w:w="1410"/>
            <w:shd w:fill="1F1F1F" w:val="clear"/>
            <w:tcMar>
              <w:top w:type="dxa" w:w="50"/>
              <w:left w:type="dxa" w:w="60"/>
              <w:bottom w:type="dxa" w:w="50"/>
              <w:right w:type="dxa" w:w="60"/>
            </w:tcMar>
          </w:tcPr>
          <w:p>
            <w:pPr>
              <w:jc w:val="center"/>
            </w:pPr>
            <w:r>
              <w:rPr>
                <w:rFonts w:ascii="Times New Roman" w:cs="Times New Roman" w:eastAsia="Times New Roman" w:hAnsi="Times New Roman"/>
                <w:b/>
                <w:bCs/>
                <w:color w:val="FFFFFF"/>
                <w:sz w:val="15"/>
                <w:szCs w:val="15"/>
              </w:rPr>
              <w:t xml:space="preserve">Mitigation planned</w:t>
            </w:r>
          </w:p>
        </w:tc>
      </w:tr>
      <w:tr>
        <w:trPr>
          <w:cantSplit/>
        </w:trPr>
        <w:tc>
          <w:tcPr>
            <w:tcW w:type="dxa" w:w="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1</w:t>
            </w:r>
          </w:p>
        </w:tc>
        <w:tc>
          <w:tcPr>
            <w:tcW w:type="dxa" w:w="15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Cold-start for new senders</w:t>
            </w:r>
          </w:p>
        </w:tc>
        <w:tc>
          <w:tcPr>
            <w:tcW w:type="dxa" w:w="14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Reduced-confidence scores for first ~20 emails</w:t>
            </w:r>
          </w:p>
        </w:tc>
        <w:tc>
          <w:tcPr>
            <w:tcW w:type="dxa" w:w="141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Federated twin pre-seeding</w:t>
            </w:r>
          </w:p>
        </w:tc>
      </w:tr>
      <w:tr>
        <w:trPr>
          <w:cantSplit/>
        </w:trPr>
        <w:tc>
          <w:tcPr>
            <w:tcW w:type="dxa" w:w="52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2</w:t>
            </w:r>
          </w:p>
        </w:tc>
        <w:tc>
          <w:tcPr>
            <w:tcW w:type="dxa" w:w="15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9.47% parser failure rate</w:t>
            </w:r>
          </w:p>
        </w:tc>
        <w:tc>
          <w:tcPr>
            <w:tcW w:type="dxa" w:w="14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Malformed/unusual MIME breaks header parsing</w:t>
            </w:r>
          </w:p>
        </w:tc>
        <w:tc>
          <w:tcPr>
            <w:tcW w:type="dxa" w:w="141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Fallback chardet + regex parser</w:t>
            </w:r>
          </w:p>
        </w:tc>
      </w:tr>
      <w:tr>
        <w:trPr>
          <w:cantSplit/>
        </w:trPr>
        <w:tc>
          <w:tcPr>
            <w:tcW w:type="dxa" w:w="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3</w:t>
            </w:r>
          </w:p>
        </w:tc>
        <w:tc>
          <w:tcPr>
            <w:tcW w:type="dxa" w:w="15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LLM by default</w:t>
            </w:r>
          </w:p>
        </w:tc>
        <w:tc>
          <w:tcPr>
            <w:tcW w:type="dxa" w:w="14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Rule fallback is effective but less nuanced</w:t>
            </w:r>
          </w:p>
        </w:tc>
        <w:tc>
          <w:tcPr>
            <w:tcW w:type="dxa" w:w="141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Optional local fine-tuned model</w:t>
            </w:r>
          </w:p>
        </w:tc>
      </w:tr>
      <w:tr>
        <w:trPr>
          <w:cantSplit/>
        </w:trPr>
        <w:tc>
          <w:tcPr>
            <w:tcW w:type="dxa" w:w="52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4</w:t>
            </w:r>
          </w:p>
        </w:tc>
        <w:tc>
          <w:tcPr>
            <w:tcW w:type="dxa" w:w="15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In-memory state</w:t>
            </w:r>
          </w:p>
        </w:tc>
        <w:tc>
          <w:tcPr>
            <w:tcW w:type="dxa" w:w="145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State lost on restart</w:t>
            </w:r>
          </w:p>
        </w:tc>
        <w:tc>
          <w:tcPr>
            <w:tcW w:type="dxa" w:w="1410"/>
            <w:shd w:fill="F2F2F2" w:val="clear"/>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MongoDB persistence (designed, not active)</w:t>
            </w:r>
          </w:p>
        </w:tc>
      </w:tr>
      <w:tr>
        <w:trPr>
          <w:cantSplit/>
        </w:trPr>
        <w:tc>
          <w:tcPr>
            <w:tcW w:type="dxa" w:w="52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5</w:t>
            </w:r>
          </w:p>
        </w:tc>
        <w:tc>
          <w:tcPr>
            <w:tcW w:type="dxa" w:w="15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No analyst feedback loop</w:t>
            </w:r>
          </w:p>
        </w:tc>
        <w:tc>
          <w:tcPr>
            <w:tcW w:type="dxa" w:w="145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Corrections not learned</w:t>
            </w:r>
          </w:p>
        </w:tc>
        <w:tc>
          <w:tcPr>
            <w:tcW w:type="dxa" w:w="1410"/>
            <w:tcMar>
              <w:top w:type="dxa" w:w="40"/>
              <w:left w:type="dxa" w:w="60"/>
              <w:bottom w:type="dxa" w:w="40"/>
              <w:right w:type="dxa" w:w="60"/>
            </w:tcMar>
          </w:tcPr>
          <w:p>
            <w:pPr>
              <w:jc w:val="left"/>
            </w:pPr>
            <w:r>
              <w:rPr>
                <w:rFonts w:ascii="Times New Roman" w:cs="Times New Roman" w:eastAsia="Times New Roman" w:hAnsi="Times New Roman"/>
                <w:b w:val="false"/>
                <w:bCs w:val="false"/>
                <w:sz w:val="15"/>
                <w:szCs w:val="15"/>
              </w:rPr>
              <w:t xml:space="preserve">Active-learning confirm/reject UI</w:t>
            </w:r>
          </w:p>
        </w:tc>
      </w:tr>
    </w:tbl>
    <w:p>
      <w:pPr>
        <w:spacing w:after="160"/>
      </w:pP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Table IV summarizes the limitations this evaluation surfaced. The most consequential for near-term deployment is parser coverage: 9.47% of the corpus produced HTTP 500 errors traceable to malformed headers or non-standard MIME structures, meaning that a fraction of legitimate mail with unusual but valid formatting could plausibly fail analysis in the same way; a fallback encoding-detection and regex-based header extractor is the highest-priority planned fix. The 20-email cold-start period for a new sender's Digital Twin is a second structural limitation common to any behavioral-baseline approach, though the Bayesian smoothing in the IP sub-score is designed specifically to reduce false positives during this window rather than eliminate it. Finally, the in-memory deployment used for this run does not persist state across restarts; the MongoDB integration required to fix this is designed but was not active during evaluation.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A further limitation concerns the evaluation itself rather than the system: because EPVME folder 3 is single-class, this study cannot report false-positive rate, precision, recall, or AUC-ROC, all of which require a balanced set of confirmed-legitimate mail run through the same pipeline. A controlled follow-up evaluation mixing this phishing corpus with a legitimate-mail baseline (e.g., a subset of the Enron corpus, restricted to headers only in keeping with the metadata-only design) is the necessary next step to establish detection sensitivity and specificity in the conventional classification sense, alongside the operational metrics reported here.</w:t>
      </w:r>
    </w:p>
    <w:p>
      <w:pPr>
        <w:keepNext/>
        <w:spacing w:after="140" w:before="240"/>
        <w:jc w:val="center"/>
      </w:pPr>
      <w:r>
        <w:rPr>
          <w:rFonts w:ascii="Times New Roman" w:cs="Times New Roman" w:eastAsia="Times New Roman" w:hAnsi="Times New Roman"/>
          <w:b/>
          <w:bCs/>
          <w:sz w:val="21"/>
          <w:szCs w:val="21"/>
        </w:rPr>
        <w:t xml:space="preserve">VI. CONCLUSION AND FUTURE WORK</w:t>
      </w:r>
    </w:p>
    <w:p>
      <w:pPr>
        <w:keepNext w:val="false"/>
        <w:spacing w:after="120" w:before="0" w:line="252" w:lineRule="auto"/>
        <w:jc w:val="both"/>
      </w:pPr>
      <w:r>
        <w:rPr>
          <w:rFonts w:ascii="Times New Roman" w:cs="Times New Roman" w:eastAsia="Times New Roman" w:hAnsi="Times New Roman"/>
          <w:b w:val="false"/>
          <w:bCs w:val="false"/>
          <w:i w:val="false"/>
          <w:iCs w:val="false"/>
          <w:sz w:val="20"/>
          <w:szCs w:val="20"/>
        </w:rPr>
        <w:t xml:space="preserve">This paper presented Sentinel, a six-phase, metadata-only architecture for detecting phishing, spear-phishing, and Business Email Compromise without ever reading email body content. By combining a privacy-preserving behavioral Digital Twin, an eight-signal Bayesian attribution engine, a four-agent detection-and-explanation orchestrator with a deterministic fallback, a NetworkX-based attack-graph correlator, and an autonomous self-healing policy engine, Sentinel demonstrates that the email envelope alone carries sufficient forensic signal to support operationally useful threat detection. An evaluation on 7,446 real-world phishing emails from the EPVME corpus showed the pipeline processing mail at 16.1 emails/second with a 90.53% successful-parse rate, correctly escalating 98.7% of the corpus to human review, and recovering 4,644 coordinated campaigns through graph correlation — while producing zero false auto-quarantine events, consistent with the system's intentionally conservative threshold design.</w:t>
      </w:r>
    </w:p>
    <w:p>
      <w:pPr>
        <w:keepNext w:val="false"/>
        <w:spacing w:after="120" w:before="0" w:line="252" w:lineRule="auto"/>
        <w:ind w:firstLine="240"/>
        <w:jc w:val="both"/>
      </w:pPr>
      <w:r>
        <w:rPr>
          <w:rFonts w:ascii="Times New Roman" w:cs="Times New Roman" w:eastAsia="Times New Roman" w:hAnsi="Times New Roman"/>
          <w:b w:val="false"/>
          <w:bCs w:val="false"/>
          <w:i w:val="false"/>
          <w:iCs w:val="false"/>
          <w:sz w:val="20"/>
          <w:szCs w:val="20"/>
        </w:rPr>
        <w:t xml:space="preserve">Three directions would most directly advance the system toward production readiness and toward a stronger evidentiary basis for its detection claims. First, an adaptive MIME parser combining encoding-detection heuristics with a regex-based fallback header extractor should reduce the observed 9.47% parse-failure rate substantially, since preliminary triage suggests most failures stem from malformed or non-standard MIME structures rather than fundamentally unparseable content. Second, activating the designed MongoDB persistence layer for Digital Twin profiles, attack-graph state, and the self-healing audit log is required before the system can be trusted to survive restarts in a production deployment. Third, and most important for validating the detection claims themselves, a controlled evaluation against a balanced corpus of confirmed-legitimate mail — reporting precision, recall, and false-positive rate under the metadata-only constraint — is needed to complement the operational results reported here. Beyond these, STIX/TAXII export of detected campaigns and attributions, an active-learning interface for analyst feedback, and federated Digital Twin pre-seeding to shorten the cold-start period are planned to move Sentinel from a research prototype toward integration with existing Security Operations Center workflows.</w:t>
      </w:r>
    </w:p>
    <w:p>
      <w:pPr>
        <w:spacing w:after="140" w:before="240"/>
        <w:jc w:val="center"/>
      </w:pPr>
      <w:r>
        <w:rPr>
          <w:rFonts w:ascii="Times New Roman" w:cs="Times New Roman" w:eastAsia="Times New Roman" w:hAnsi="Times New Roman"/>
          <w:b/>
          <w:bCs/>
          <w:sz w:val="21"/>
          <w:szCs w:val="21"/>
        </w:rPr>
        <w:t xml:space="preserve">REFERENCES</w:t>
      </w:r>
    </w:p>
    <w:p>
      <w:pPr>
        <w:spacing w:after="90" w:line="240"/>
        <w:ind w:left="260" w:hanging="260"/>
        <w:jc w:val="both"/>
      </w:pPr>
      <w:r>
        <w:rPr>
          <w:rFonts w:ascii="Times New Roman" w:cs="Times New Roman" w:eastAsia="Times New Roman" w:hAnsi="Times New Roman"/>
          <w:sz w:val="18"/>
          <w:szCs w:val="18"/>
        </w:rPr>
        <w:t xml:space="preserve">[1] </w:t>
      </w:r>
      <w:r>
        <w:rPr>
          <w:rFonts w:ascii="Times New Roman" w:cs="Times New Roman" w:eastAsia="Times New Roman" w:hAnsi="Times New Roman"/>
          <w:sz w:val="18"/>
          <w:szCs w:val="18"/>
        </w:rPr>
        <w:t xml:space="preserve">Verizon Business, "2024 Data Breach Investigations Report," Verizon, 2024.</w:t>
      </w:r>
    </w:p>
    <w:p>
      <w:pPr>
        <w:spacing w:after="90" w:line="240"/>
        <w:ind w:left="260" w:hanging="260"/>
        <w:jc w:val="both"/>
      </w:pPr>
      <w:r>
        <w:rPr>
          <w:rFonts w:ascii="Times New Roman" w:cs="Times New Roman" w:eastAsia="Times New Roman" w:hAnsi="Times New Roman"/>
          <w:sz w:val="18"/>
          <w:szCs w:val="18"/>
        </w:rPr>
        <w:t xml:space="preserve">[2] </w:t>
      </w:r>
      <w:r>
        <w:rPr>
          <w:rFonts w:ascii="Times New Roman" w:cs="Times New Roman" w:eastAsia="Times New Roman" w:hAnsi="Times New Roman"/>
          <w:sz w:val="18"/>
          <w:szCs w:val="18"/>
        </w:rPr>
        <w:t xml:space="preserve">Federal Bureau of Investigation, Internet Crime Complaint Center (IC3), "2023 Internet Crime Report," U.S. Department of Justice, May 2024.</w:t>
      </w:r>
    </w:p>
    <w:p>
      <w:pPr>
        <w:spacing w:after="90" w:line="240"/>
        <w:ind w:left="260" w:hanging="260"/>
        <w:jc w:val="both"/>
      </w:pPr>
      <w:r>
        <w:rPr>
          <w:rFonts w:ascii="Times New Roman" w:cs="Times New Roman" w:eastAsia="Times New Roman" w:hAnsi="Times New Roman"/>
          <w:sz w:val="18"/>
          <w:szCs w:val="18"/>
        </w:rPr>
        <w:t xml:space="preserve">[3] </w:t>
      </w:r>
      <w:r>
        <w:rPr>
          <w:rFonts w:ascii="Times New Roman" w:cs="Times New Roman" w:eastAsia="Times New Roman" w:hAnsi="Times New Roman"/>
          <w:sz w:val="18"/>
          <w:szCs w:val="18"/>
        </w:rPr>
        <w:t xml:space="preserve">H. Hu, P. Peng, and G. Wang, "Towards the Adoption of Anti-Spoofing Protocols for Email Systems," arXiv:1711.06654, 2017.</w:t>
      </w:r>
    </w:p>
    <w:p>
      <w:pPr>
        <w:spacing w:after="90" w:line="240"/>
        <w:ind w:left="260" w:hanging="260"/>
        <w:jc w:val="both"/>
      </w:pPr>
      <w:r>
        <w:rPr>
          <w:rFonts w:ascii="Times New Roman" w:cs="Times New Roman" w:eastAsia="Times New Roman" w:hAnsi="Times New Roman"/>
          <w:sz w:val="18"/>
          <w:szCs w:val="18"/>
        </w:rPr>
        <w:t xml:space="preserve">[4] </w:t>
      </w:r>
      <w:r>
        <w:rPr>
          <w:rFonts w:ascii="Times New Roman" w:cs="Times New Roman" w:eastAsia="Times New Roman" w:hAnsi="Times New Roman"/>
          <w:sz w:val="18"/>
          <w:szCs w:val="18"/>
        </w:rPr>
        <w:t xml:space="preserve">H. Hu and G. Wang, "End-to-End Measurements of Email Spoofing Attacks," in Proc. 27th USENIX Security Symposium, Baltimore, MD, USA, 2018, pp. 1095–1112.</w:t>
      </w:r>
    </w:p>
    <w:p>
      <w:pPr>
        <w:spacing w:after="90" w:line="240"/>
        <w:ind w:left="260" w:hanging="260"/>
        <w:jc w:val="both"/>
      </w:pPr>
      <w:r>
        <w:rPr>
          <w:rFonts w:ascii="Times New Roman" w:cs="Times New Roman" w:eastAsia="Times New Roman" w:hAnsi="Times New Roman"/>
          <w:sz w:val="18"/>
          <w:szCs w:val="18"/>
        </w:rPr>
        <w:t xml:space="preserve">[5] </w:t>
      </w:r>
      <w:r>
        <w:rPr>
          <w:rFonts w:ascii="Times New Roman" w:cs="Times New Roman" w:eastAsia="Times New Roman" w:hAnsi="Times New Roman"/>
          <w:sz w:val="18"/>
          <w:szCs w:val="18"/>
        </w:rPr>
        <w:t xml:space="preserve">S. Ashiq et al., "Measurement and Security Implications of DMARC Reporting," in Proc. 32nd USENIX Security Symposium, 2023.</w:t>
      </w:r>
    </w:p>
    <w:p>
      <w:pPr>
        <w:spacing w:after="90" w:line="240"/>
        <w:ind w:left="260" w:hanging="260"/>
        <w:jc w:val="both"/>
      </w:pPr>
      <w:r>
        <w:rPr>
          <w:rFonts w:ascii="Times New Roman" w:cs="Times New Roman" w:eastAsia="Times New Roman" w:hAnsi="Times New Roman"/>
          <w:sz w:val="18"/>
          <w:szCs w:val="18"/>
        </w:rPr>
        <w:t xml:space="preserve">[6] </w:t>
      </w:r>
      <w:r>
        <w:rPr>
          <w:rFonts w:ascii="Times New Roman" w:cs="Times New Roman" w:eastAsia="Times New Roman" w:hAnsi="Times New Roman"/>
          <w:sz w:val="18"/>
          <w:szCs w:val="18"/>
        </w:rPr>
        <w:t xml:space="preserve">O. Hureau, J. Bayer, A. Duda, and M. Korczyński, "Spoofed Emails: An Analysis of the Issues Hindering a Larger Deployment of DMARC," in Proc. Passive and Active Measurement Conf. (PAM), Springer LNCS vol. 14538, 2024, pp. 232–261.</w:t>
      </w:r>
    </w:p>
    <w:p>
      <w:pPr>
        <w:spacing w:after="90" w:line="240"/>
        <w:ind w:left="260" w:hanging="260"/>
        <w:jc w:val="both"/>
      </w:pPr>
      <w:r>
        <w:rPr>
          <w:rFonts w:ascii="Times New Roman" w:cs="Times New Roman" w:eastAsia="Times New Roman" w:hAnsi="Times New Roman"/>
          <w:sz w:val="18"/>
          <w:szCs w:val="18"/>
        </w:rPr>
        <w:t xml:space="preserve">[7] </w:t>
      </w:r>
      <w:r>
        <w:rPr>
          <w:rFonts w:ascii="Times New Roman" w:cs="Times New Roman" w:eastAsia="Times New Roman" w:hAnsi="Times New Roman"/>
          <w:sz w:val="18"/>
          <w:szCs w:val="18"/>
        </w:rPr>
        <w:t xml:space="preserve">A. I. Champa, M. F. Rabbi, and M. F. Zibran, "Curated Datasets and Feature Analysis for Phishing Email Detection with Machine Learning," in Proc. 2024 IEEE 3rd Int. Conf. on Computing and Machine Intelligence (ICMI), 2024.</w:t>
      </w:r>
    </w:p>
    <w:p>
      <w:pPr>
        <w:spacing w:after="90" w:line="240"/>
        <w:ind w:left="260" w:hanging="260"/>
        <w:jc w:val="both"/>
      </w:pPr>
      <w:r>
        <w:rPr>
          <w:rFonts w:ascii="Times New Roman" w:cs="Times New Roman" w:eastAsia="Times New Roman" w:hAnsi="Times New Roman"/>
          <w:sz w:val="18"/>
          <w:szCs w:val="18"/>
        </w:rPr>
        <w:t xml:space="preserve">[8] </w:t>
      </w:r>
      <w:r>
        <w:rPr>
          <w:rFonts w:ascii="Times New Roman" w:cs="Times New Roman" w:eastAsia="Times New Roman" w:hAnsi="Times New Roman"/>
          <w:sz w:val="18"/>
          <w:szCs w:val="18"/>
        </w:rPr>
        <w:t xml:space="preserve">"Improving Phishing Email Detection Performance through Deep Learning with Adaptive Optimization," Scientific Reports, vol. 15, 2025.</w:t>
      </w:r>
    </w:p>
    <w:p>
      <w:pPr>
        <w:spacing w:after="90" w:line="240"/>
        <w:ind w:left="260" w:hanging="260"/>
        <w:jc w:val="both"/>
      </w:pPr>
      <w:r>
        <w:rPr>
          <w:rFonts w:ascii="Times New Roman" w:cs="Times New Roman" w:eastAsia="Times New Roman" w:hAnsi="Times New Roman"/>
          <w:sz w:val="18"/>
          <w:szCs w:val="18"/>
        </w:rPr>
        <w:t xml:space="preserve">[9] </w:t>
      </w:r>
      <w:r>
        <w:rPr>
          <w:rFonts w:ascii="Times New Roman" w:cs="Times New Roman" w:eastAsia="Times New Roman" w:hAnsi="Times New Roman"/>
          <w:sz w:val="18"/>
          <w:szCs w:val="18"/>
        </w:rPr>
        <w:t xml:space="preserve">"Comparative Investigation of Traditional Machine-Learning Models and Transformer-Based Approaches for Phishing Email Detection," Electronics, vol. 13, no. 24, art. 4877, 2024.</w:t>
      </w:r>
    </w:p>
    <w:p>
      <w:pPr>
        <w:spacing w:after="90" w:line="240"/>
        <w:ind w:left="260" w:hanging="260"/>
        <w:jc w:val="both"/>
      </w:pPr>
      <w:r>
        <w:rPr>
          <w:rFonts w:ascii="Times New Roman" w:cs="Times New Roman" w:eastAsia="Times New Roman" w:hAnsi="Times New Roman"/>
          <w:sz w:val="18"/>
          <w:szCs w:val="18"/>
        </w:rPr>
        <w:t xml:space="preserve">[10] </w:t>
      </w:r>
      <w:r>
        <w:rPr>
          <w:rFonts w:ascii="Times New Roman" w:cs="Times New Roman" w:eastAsia="Times New Roman" w:hAnsi="Times New Roman"/>
          <w:sz w:val="18"/>
          <w:szCs w:val="18"/>
        </w:rPr>
        <w:t xml:space="preserve">"A Multi-Agent System for Cybersecurity Threat Detection and Correlation Using Large Language Models," preprint, 2024.</w:t>
      </w:r>
    </w:p>
    <w:p>
      <w:pPr>
        <w:spacing w:after="90" w:line="240"/>
        <w:ind w:left="260" w:hanging="260"/>
        <w:jc w:val="both"/>
      </w:pPr>
      <w:r>
        <w:rPr>
          <w:rFonts w:ascii="Times New Roman" w:cs="Times New Roman" w:eastAsia="Times New Roman" w:hAnsi="Times New Roman"/>
          <w:sz w:val="18"/>
          <w:szCs w:val="18"/>
        </w:rPr>
        <w:t xml:space="preserve">[11] </w:t>
      </w:r>
      <w:r>
        <w:rPr>
          <w:rFonts w:ascii="Times New Roman" w:cs="Times New Roman" w:eastAsia="Times New Roman" w:hAnsi="Times New Roman"/>
          <w:sz w:val="18"/>
          <w:szCs w:val="18"/>
        </w:rPr>
        <w:t xml:space="preserve">"Generative Agent-Based Modeling with Large Language Models for Insider Threat Detection," Engineering Applications of Artificial Intelligence, Elsevier, 2025.</w:t>
      </w:r>
    </w:p>
    <w:p>
      <w:pPr>
        <w:spacing w:after="90" w:line="240"/>
        <w:ind w:left="260" w:hanging="260"/>
        <w:jc w:val="both"/>
      </w:pPr>
      <w:r>
        <w:rPr>
          <w:rFonts w:ascii="Times New Roman" w:cs="Times New Roman" w:eastAsia="Times New Roman" w:hAnsi="Times New Roman"/>
          <w:sz w:val="18"/>
          <w:szCs w:val="18"/>
        </w:rPr>
        <w:t xml:space="preserve">[12] </w:t>
      </w:r>
      <w:r>
        <w:rPr>
          <w:rFonts w:ascii="Times New Roman" w:cs="Times New Roman" w:eastAsia="Times New Roman" w:hAnsi="Times New Roman"/>
          <w:sz w:val="18"/>
          <w:szCs w:val="18"/>
        </w:rPr>
        <w:t xml:space="preserve">K. E. Kampourakis, V. Gkioulos, and S. Katsikas, "Systematic Integration of Digital Twins and Constrained LLMs for Interpretable Cyber-Physical Anomaly Detection," NTNU, arXiv preprint, 2025.</w:t>
      </w:r>
    </w:p>
    <w:p>
      <w:pPr>
        <w:spacing w:after="90" w:line="240"/>
        <w:ind w:left="260" w:hanging="260"/>
        <w:jc w:val="both"/>
      </w:pPr>
      <w:r>
        <w:rPr>
          <w:rFonts w:ascii="Times New Roman" w:cs="Times New Roman" w:eastAsia="Times New Roman" w:hAnsi="Times New Roman"/>
          <w:sz w:val="18"/>
          <w:szCs w:val="18"/>
        </w:rPr>
        <w:t xml:space="preserve">[13] </w:t>
      </w:r>
      <w:r>
        <w:rPr>
          <w:rFonts w:ascii="Times New Roman" w:cs="Times New Roman" w:eastAsia="Times New Roman" w:hAnsi="Times New Roman"/>
          <w:sz w:val="18"/>
          <w:szCs w:val="18"/>
        </w:rPr>
        <w:t xml:space="preserve">M. Eckhart and A. Ekelhart, "Towards Security-Aware Virtual Environments for Digital Twins," in Proc. 4th ACM Workshop on Cyber-Physical Systems Security and PrivaCy (CPS-SPC), 2018.</w:t>
      </w:r>
    </w:p>
    <w:p>
      <w:pPr>
        <w:spacing w:after="90" w:line="240"/>
        <w:ind w:left="260" w:hanging="260"/>
        <w:jc w:val="both"/>
      </w:pPr>
      <w:r>
        <w:rPr>
          <w:rFonts w:ascii="Times New Roman" w:cs="Times New Roman" w:eastAsia="Times New Roman" w:hAnsi="Times New Roman"/>
          <w:sz w:val="18"/>
          <w:szCs w:val="18"/>
        </w:rPr>
        <w:t xml:space="preserve">[14] </w:t>
      </w:r>
      <w:r>
        <w:rPr>
          <w:rFonts w:ascii="Times New Roman" w:cs="Times New Roman" w:eastAsia="Times New Roman" w:hAnsi="Times New Roman"/>
          <w:sz w:val="18"/>
          <w:szCs w:val="18"/>
        </w:rPr>
        <w:t xml:space="preserve">Y. Zhao, Y. Xie, F. Yu, Q. Ke, Y. Yu, Y. Chen, and E. Gillum, "BotGraph: Large Scale Spamming Botnet Detection," in Proc. 6th USENIX Symp. on Networked Systems Design and Implementation (NSDI), 2009.</w:t>
      </w:r>
    </w:p>
    <w:sectPr>
      <w:footerReference w:type="default" r:id="rId7"/>
      <w:type w:val="continuous"/>
      <w:pgSz w:w="12240" w:h="15840" w:orient="portrait"/>
      <w:pgMar w:top="1080" w:right="1080" w:bottom="1080" w:left="108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2026-09-02T06:41:21.727Z</dcterms:created>
  <dcterms:modified xsi:type="dcterms:W3CDTF">2026-09-02T06:41:21.727Z</dcterms:modified>
</cp:coreProperties>
</file>

<file path=docProps/custom.xml><?xml version="1.0" encoding="utf-8"?>
<Properties xmlns="http://schemas.openxmlformats.org/officeDocument/2006/custom-properties" xmlns:vt="http://schemas.openxmlformats.org/officeDocument/2006/docPropsVTypes"/>
</file>