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78EA2" w14:textId="52DC3F4C" w:rsidR="002213F5" w:rsidRDefault="00A82286">
      <w:pPr>
        <w:rPr>
          <w:lang w:val="en-US"/>
        </w:rPr>
      </w:pPr>
      <w:proofErr w:type="gramStart"/>
      <w:r>
        <w:rPr>
          <w:lang w:val="en-US"/>
        </w:rPr>
        <w:t>Datasets :</w:t>
      </w:r>
      <w:proofErr w:type="gramEnd"/>
    </w:p>
    <w:p w14:paraId="667516C8" w14:textId="34F7DE22" w:rsidR="00A82286" w:rsidRDefault="00A82286">
      <w:pPr>
        <w:rPr>
          <w:lang w:val="en-US"/>
        </w:rPr>
      </w:pPr>
    </w:p>
    <w:p w14:paraId="2A2CA9CE" w14:textId="77777777" w:rsidR="00A82286" w:rsidRPr="00A82286" w:rsidRDefault="00A82286" w:rsidP="00A82286">
      <w:pPr>
        <w:rPr>
          <w:rFonts w:ascii="Times New Roman" w:eastAsia="Times New Roman" w:hAnsi="Times New Roman" w:cs="Times New Roman"/>
          <w:lang w:eastAsia="en-GB"/>
        </w:rPr>
      </w:pPr>
      <w:proofErr w:type="gramStart"/>
      <w:r>
        <w:rPr>
          <w:lang w:val="en-US"/>
        </w:rPr>
        <w:t>Synopsis :</w:t>
      </w:r>
      <w:proofErr w:type="gramEnd"/>
      <w:r>
        <w:rPr>
          <w:lang w:val="en-US"/>
        </w:rPr>
        <w:t xml:space="preserve"> </w:t>
      </w:r>
      <w:r w:rsidRPr="00A82286">
        <w:rPr>
          <w:rFonts w:ascii="Arial" w:eastAsia="Times New Roman" w:hAnsi="Arial" w:cs="Arial"/>
          <w:color w:val="222222"/>
          <w:shd w:val="clear" w:color="auto" w:fill="FFFFFF"/>
          <w:lang w:eastAsia="en-GB"/>
        </w:rPr>
        <w:t>A </w:t>
      </w:r>
      <w:r w:rsidRPr="00A82286">
        <w:rPr>
          <w:rFonts w:ascii="Arial" w:eastAsia="Times New Roman" w:hAnsi="Arial" w:cs="Arial"/>
          <w:b/>
          <w:bCs/>
          <w:color w:val="222222"/>
          <w:lang w:eastAsia="en-GB"/>
        </w:rPr>
        <w:t>data set</w:t>
      </w:r>
      <w:r w:rsidRPr="00A82286">
        <w:rPr>
          <w:rFonts w:ascii="Arial" w:eastAsia="Times New Roman" w:hAnsi="Arial" w:cs="Arial"/>
          <w:color w:val="222222"/>
          <w:shd w:val="clear" w:color="auto" w:fill="FFFFFF"/>
          <w:lang w:eastAsia="en-GB"/>
        </w:rPr>
        <w:t> (or </w:t>
      </w:r>
      <w:r w:rsidRPr="00A82286">
        <w:rPr>
          <w:rFonts w:ascii="Arial" w:eastAsia="Times New Roman" w:hAnsi="Arial" w:cs="Arial"/>
          <w:b/>
          <w:bCs/>
          <w:color w:val="222222"/>
          <w:lang w:eastAsia="en-GB"/>
        </w:rPr>
        <w:t>dataset</w:t>
      </w:r>
      <w:r w:rsidRPr="00A82286">
        <w:rPr>
          <w:rFonts w:ascii="Arial" w:eastAsia="Times New Roman" w:hAnsi="Arial" w:cs="Arial"/>
          <w:color w:val="222222"/>
          <w:shd w:val="clear" w:color="auto" w:fill="FFFFFF"/>
          <w:lang w:eastAsia="en-GB"/>
        </w:rPr>
        <w:t>) is a collection of data. ... The </w:t>
      </w:r>
      <w:r w:rsidRPr="00A82286">
        <w:rPr>
          <w:rFonts w:ascii="Arial" w:eastAsia="Times New Roman" w:hAnsi="Arial" w:cs="Arial"/>
          <w:b/>
          <w:bCs/>
          <w:color w:val="222222"/>
          <w:lang w:eastAsia="en-GB"/>
        </w:rPr>
        <w:t>data set</w:t>
      </w:r>
      <w:r w:rsidRPr="00A82286">
        <w:rPr>
          <w:rFonts w:ascii="Arial" w:eastAsia="Times New Roman" w:hAnsi="Arial" w:cs="Arial"/>
          <w:color w:val="222222"/>
          <w:shd w:val="clear" w:color="auto" w:fill="FFFFFF"/>
          <w:lang w:eastAsia="en-GB"/>
        </w:rPr>
        <w:t> lists values for each of the variables, such as height and weight of an object, for each member of the </w:t>
      </w:r>
      <w:r w:rsidRPr="00A82286">
        <w:rPr>
          <w:rFonts w:ascii="Arial" w:eastAsia="Times New Roman" w:hAnsi="Arial" w:cs="Arial"/>
          <w:b/>
          <w:bCs/>
          <w:color w:val="222222"/>
          <w:lang w:eastAsia="en-GB"/>
        </w:rPr>
        <w:t>data set</w:t>
      </w:r>
      <w:r w:rsidRPr="00A82286">
        <w:rPr>
          <w:rFonts w:ascii="Arial" w:eastAsia="Times New Roman" w:hAnsi="Arial" w:cs="Arial"/>
          <w:color w:val="222222"/>
          <w:shd w:val="clear" w:color="auto" w:fill="FFFFFF"/>
          <w:lang w:eastAsia="en-GB"/>
        </w:rPr>
        <w:t>. Each value is known as a datum. </w:t>
      </w:r>
      <w:r w:rsidRPr="00A82286">
        <w:rPr>
          <w:rFonts w:ascii="Arial" w:eastAsia="Times New Roman" w:hAnsi="Arial" w:cs="Arial"/>
          <w:b/>
          <w:bCs/>
          <w:color w:val="222222"/>
          <w:lang w:eastAsia="en-GB"/>
        </w:rPr>
        <w:t>Data sets can</w:t>
      </w:r>
      <w:r w:rsidRPr="00A82286">
        <w:rPr>
          <w:rFonts w:ascii="Arial" w:eastAsia="Times New Roman" w:hAnsi="Arial" w:cs="Arial"/>
          <w:color w:val="222222"/>
          <w:shd w:val="clear" w:color="auto" w:fill="FFFFFF"/>
          <w:lang w:eastAsia="en-GB"/>
        </w:rPr>
        <w:t> also consist of a collection of documents or files.</w:t>
      </w:r>
    </w:p>
    <w:p w14:paraId="24119246" w14:textId="0E7B16EF" w:rsidR="00A82286" w:rsidRDefault="00A82286">
      <w:pPr>
        <w:rPr>
          <w:lang w:val="en-US"/>
        </w:rPr>
      </w:pPr>
    </w:p>
    <w:p w14:paraId="50EB5B28" w14:textId="7014E545" w:rsidR="00A82286" w:rsidRDefault="00A82286">
      <w:pPr>
        <w:rPr>
          <w:lang w:val="en-US"/>
        </w:rPr>
      </w:pPr>
    </w:p>
    <w:p w14:paraId="6CAC7CCD" w14:textId="5D207BFF" w:rsidR="00A82286" w:rsidRDefault="00A82286">
      <w:pPr>
        <w:rPr>
          <w:lang w:val="en-US"/>
        </w:rPr>
      </w:pPr>
      <w:r>
        <w:rPr>
          <w:lang w:val="en-US"/>
        </w:rPr>
        <w:t xml:space="preserve">As a part of this study we have reviewed multiple datasets </w:t>
      </w:r>
    </w:p>
    <w:p w14:paraId="4241C2D9" w14:textId="6FDCD72B" w:rsidR="00A82286" w:rsidRDefault="00A82286">
      <w:pPr>
        <w:rPr>
          <w:lang w:val="en-US"/>
        </w:rPr>
      </w:pPr>
    </w:p>
    <w:p w14:paraId="70BC3D49" w14:textId="7DDFDC17" w:rsidR="00A82286" w:rsidRPr="00A82286" w:rsidRDefault="00A82286" w:rsidP="00A82286">
      <w:pPr>
        <w:rPr>
          <w:rFonts w:ascii="Times New Roman" w:eastAsia="Times New Roman" w:hAnsi="Times New Roman" w:cs="Times New Roman"/>
          <w:lang w:eastAsia="en-GB"/>
        </w:rPr>
      </w:pPr>
      <w:r w:rsidRPr="00A82286">
        <w:rPr>
          <w:rFonts w:ascii="Georgia" w:eastAsia="Times New Roman" w:hAnsi="Georgia" w:cs="Times New Roman"/>
          <w:color w:val="282828"/>
          <w:sz w:val="27"/>
          <w:szCs w:val="27"/>
          <w:lang w:eastAsia="en-GB"/>
        </w:rPr>
        <w:t>COVID-19 was declared as a global pandemic by the World Health Organization on 11th March 2020</w:t>
      </w:r>
      <w:r>
        <w:rPr>
          <w:rFonts w:ascii="Georgia" w:eastAsia="Times New Roman" w:hAnsi="Georgia" w:cs="Times New Roman"/>
          <w:color w:val="282828"/>
          <w:sz w:val="27"/>
          <w:szCs w:val="27"/>
          <w:lang w:eastAsia="en-GB"/>
        </w:rPr>
        <w:t>.</w:t>
      </w:r>
      <w:r w:rsidRPr="00A82286">
        <w:rPr>
          <w:rFonts w:ascii="Georgia" w:hAnsi="Georgia"/>
          <w:color w:val="282828"/>
          <w:sz w:val="27"/>
          <w:szCs w:val="27"/>
        </w:rPr>
        <w:t xml:space="preserve"> </w:t>
      </w:r>
      <w:r w:rsidRPr="00A82286">
        <w:rPr>
          <w:rFonts w:ascii="Georgia" w:eastAsia="Times New Roman" w:hAnsi="Georgia" w:cs="Times New Roman"/>
          <w:color w:val="282828"/>
          <w:sz w:val="27"/>
          <w:szCs w:val="27"/>
          <w:lang w:eastAsia="en-GB"/>
        </w:rPr>
        <w:t>Researchers at CDDEP India and Princeton University estimated the current number of hospital beds, intensive care unit (ICU) beds and ventilators across 37 states of India.</w:t>
      </w:r>
      <w:r w:rsidRPr="00A82286">
        <w:rPr>
          <w:rFonts w:ascii="Georgia" w:hAnsi="Georgia"/>
          <w:color w:val="282828"/>
          <w:sz w:val="27"/>
          <w:szCs w:val="27"/>
        </w:rPr>
        <w:t xml:space="preserve"> </w:t>
      </w:r>
      <w:r w:rsidRPr="00A82286">
        <w:rPr>
          <w:rFonts w:ascii="Georgia" w:eastAsia="Times New Roman" w:hAnsi="Georgia" w:cs="Times New Roman"/>
          <w:color w:val="282828"/>
          <w:sz w:val="27"/>
          <w:szCs w:val="27"/>
          <w:lang w:eastAsia="en-GB"/>
        </w:rPr>
        <w:t>In this report, CDDEP researchers have estimated the existing number of hospital beds, Intensive Care Unit (ICU) beds, and ventilators nationally and in 37 states of India. The analysis used data and parameters from published sources. Data for the public sector were obtained from the 2019 National Health Profile (NHP) which estimated that public health facilities had about 7 lac hospital beds.</w:t>
      </w:r>
      <w:bookmarkStart w:id="0" w:name="_ftnref1"/>
      <w:r w:rsidRPr="00A82286">
        <w:rPr>
          <w:rFonts w:ascii="Times New Roman" w:eastAsia="Times New Roman" w:hAnsi="Times New Roman" w:cs="Times New Roman"/>
          <w:lang w:eastAsia="en-GB"/>
        </w:rPr>
        <w:fldChar w:fldCharType="begin"/>
      </w:r>
      <w:r w:rsidRPr="00A82286">
        <w:rPr>
          <w:rFonts w:ascii="Times New Roman" w:eastAsia="Times New Roman" w:hAnsi="Times New Roman" w:cs="Times New Roman"/>
          <w:lang w:eastAsia="en-GB"/>
        </w:rPr>
        <w:instrText xml:space="preserve"> HYPERLINK "applewebdata://10F72320-9AFD-40C6-835D-BE00DC3950DC" \l "_ftn1" </w:instrText>
      </w:r>
      <w:r w:rsidRPr="00A82286">
        <w:rPr>
          <w:rFonts w:ascii="Times New Roman" w:eastAsia="Times New Roman" w:hAnsi="Times New Roman" w:cs="Times New Roman"/>
          <w:lang w:eastAsia="en-GB"/>
        </w:rPr>
        <w:fldChar w:fldCharType="separate"/>
      </w:r>
      <w:r w:rsidRPr="00A82286">
        <w:rPr>
          <w:rFonts w:ascii="Georgia" w:eastAsia="Times New Roman" w:hAnsi="Georgia" w:cs="Times New Roman"/>
          <w:color w:val="DE6020"/>
          <w:sz w:val="27"/>
          <w:szCs w:val="27"/>
          <w:u w:val="single"/>
          <w:bdr w:val="none" w:sz="0" w:space="0" w:color="auto" w:frame="1"/>
          <w:lang w:eastAsia="en-GB"/>
        </w:rPr>
        <w:t>[1] </w:t>
      </w:r>
      <w:r w:rsidRPr="00A82286">
        <w:rPr>
          <w:rFonts w:ascii="Times New Roman" w:eastAsia="Times New Roman" w:hAnsi="Times New Roman" w:cs="Times New Roman"/>
          <w:lang w:eastAsia="en-GB"/>
        </w:rPr>
        <w:fldChar w:fldCharType="end"/>
      </w:r>
      <w:bookmarkEnd w:id="0"/>
      <w:r w:rsidRPr="00A82286">
        <w:rPr>
          <w:rFonts w:ascii="Georgia" w:eastAsia="Times New Roman" w:hAnsi="Georgia" w:cs="Times New Roman"/>
          <w:color w:val="282828"/>
          <w:sz w:val="27"/>
          <w:szCs w:val="27"/>
          <w:lang w:eastAsia="en-GB"/>
        </w:rPr>
        <w:t>No such data could be found for the private sector. However, the percentage break-up of public and private health facilities was obtained from the National Statistical Office (NSO) 75th Round Report.</w:t>
      </w:r>
      <w:bookmarkStart w:id="1" w:name="_ftnref2"/>
      <w:r w:rsidRPr="00A82286">
        <w:rPr>
          <w:rFonts w:ascii="Times New Roman" w:eastAsia="Times New Roman" w:hAnsi="Times New Roman" w:cs="Times New Roman"/>
          <w:lang w:eastAsia="en-GB"/>
        </w:rPr>
        <w:fldChar w:fldCharType="begin"/>
      </w:r>
      <w:r w:rsidRPr="00A82286">
        <w:rPr>
          <w:rFonts w:ascii="Times New Roman" w:eastAsia="Times New Roman" w:hAnsi="Times New Roman" w:cs="Times New Roman"/>
          <w:lang w:eastAsia="en-GB"/>
        </w:rPr>
        <w:instrText xml:space="preserve"> HYPERLINK "applewebdata://10F72320-9AFD-40C6-835D-BE00DC3950DC" \l "_ftn2" </w:instrText>
      </w:r>
      <w:r w:rsidRPr="00A82286">
        <w:rPr>
          <w:rFonts w:ascii="Times New Roman" w:eastAsia="Times New Roman" w:hAnsi="Times New Roman" w:cs="Times New Roman"/>
          <w:lang w:eastAsia="en-GB"/>
        </w:rPr>
        <w:fldChar w:fldCharType="separate"/>
      </w:r>
      <w:r w:rsidRPr="00A82286">
        <w:rPr>
          <w:rFonts w:ascii="Georgia" w:eastAsia="Times New Roman" w:hAnsi="Georgia" w:cs="Times New Roman"/>
          <w:color w:val="DE6020"/>
          <w:sz w:val="27"/>
          <w:szCs w:val="27"/>
          <w:u w:val="single"/>
          <w:bdr w:val="none" w:sz="0" w:space="0" w:color="auto" w:frame="1"/>
          <w:lang w:eastAsia="en-GB"/>
        </w:rPr>
        <w:t>[2] </w:t>
      </w:r>
      <w:r w:rsidRPr="00A82286">
        <w:rPr>
          <w:rFonts w:ascii="Times New Roman" w:eastAsia="Times New Roman" w:hAnsi="Times New Roman" w:cs="Times New Roman"/>
          <w:lang w:eastAsia="en-GB"/>
        </w:rPr>
        <w:fldChar w:fldCharType="end"/>
      </w:r>
      <w:bookmarkEnd w:id="1"/>
      <w:r w:rsidRPr="00A82286">
        <w:rPr>
          <w:rFonts w:ascii="Georgia" w:eastAsia="Times New Roman" w:hAnsi="Georgia" w:cs="Times New Roman"/>
          <w:color w:val="282828"/>
          <w:sz w:val="27"/>
          <w:szCs w:val="27"/>
          <w:lang w:eastAsia="en-GB"/>
        </w:rPr>
        <w:t>Based on this information, the research team estimated the number of private health facilities and the number of hospital beds in the private sector.</w:t>
      </w:r>
      <w:r w:rsidRPr="00A82286">
        <w:rPr>
          <w:rFonts w:ascii="Georgia" w:hAnsi="Georgia"/>
          <w:color w:val="282828"/>
          <w:sz w:val="27"/>
          <w:szCs w:val="27"/>
        </w:rPr>
        <w:t xml:space="preserve"> </w:t>
      </w:r>
      <w:r w:rsidRPr="00A82286">
        <w:rPr>
          <w:rFonts w:ascii="Georgia" w:eastAsia="Times New Roman" w:hAnsi="Georgia" w:cs="Times New Roman"/>
          <w:color w:val="282828"/>
          <w:sz w:val="27"/>
          <w:szCs w:val="27"/>
          <w:lang w:eastAsia="en-GB"/>
        </w:rPr>
        <w:t xml:space="preserve">The study titled, “COVID-19 in India: State-wise estimates of current hospital beds, intensive care unit (ICU) beds and ventilators” by Geetanjali Kapoor, Aditi Sriram, Jyoti Joshi, Arindam Nandi, and Ramanan </w:t>
      </w:r>
      <w:proofErr w:type="spellStart"/>
      <w:r w:rsidRPr="00A82286">
        <w:rPr>
          <w:rFonts w:ascii="Georgia" w:eastAsia="Times New Roman" w:hAnsi="Georgia" w:cs="Times New Roman"/>
          <w:color w:val="282828"/>
          <w:sz w:val="27"/>
          <w:szCs w:val="27"/>
          <w:lang w:eastAsia="en-GB"/>
        </w:rPr>
        <w:t>Laxminarayan</w:t>
      </w:r>
      <w:proofErr w:type="spellEnd"/>
      <w:r w:rsidRPr="00A82286">
        <w:rPr>
          <w:rFonts w:ascii="Georgia" w:eastAsia="Times New Roman" w:hAnsi="Georgia" w:cs="Times New Roman"/>
          <w:color w:val="282828"/>
          <w:sz w:val="27"/>
          <w:szCs w:val="27"/>
          <w:lang w:eastAsia="en-GB"/>
        </w:rPr>
        <w:t xml:space="preserve"> is available </w:t>
      </w:r>
      <w:hyperlink r:id="rId4" w:history="1">
        <w:r w:rsidRPr="00A82286">
          <w:rPr>
            <w:rFonts w:ascii="Georgia" w:eastAsia="Times New Roman" w:hAnsi="Georgia" w:cs="Times New Roman"/>
            <w:color w:val="DE6020"/>
            <w:sz w:val="27"/>
            <w:szCs w:val="27"/>
            <w:u w:val="single"/>
            <w:bdr w:val="none" w:sz="0" w:space="0" w:color="auto" w:frame="1"/>
            <w:lang w:eastAsia="en-GB"/>
          </w:rPr>
          <w:t>here</w:t>
        </w:r>
      </w:hyperlink>
      <w:r w:rsidRPr="00A82286">
        <w:rPr>
          <w:rFonts w:ascii="Georgia" w:eastAsia="Times New Roman" w:hAnsi="Georgia" w:cs="Times New Roman"/>
          <w:color w:val="282828"/>
          <w:sz w:val="27"/>
          <w:szCs w:val="27"/>
          <w:lang w:eastAsia="en-GB"/>
        </w:rPr>
        <w:t>.</w:t>
      </w:r>
    </w:p>
    <w:p w14:paraId="439723CB" w14:textId="100B5199" w:rsidR="00A82286" w:rsidRDefault="00A82286" w:rsidP="00A82286">
      <w:pPr>
        <w:rPr>
          <w:rFonts w:ascii="Times New Roman" w:eastAsia="Times New Roman" w:hAnsi="Times New Roman" w:cs="Times New Roman"/>
          <w:lang w:eastAsia="en-GB"/>
        </w:rPr>
      </w:pPr>
    </w:p>
    <w:p w14:paraId="2C70CC3A" w14:textId="77777777" w:rsidR="00A82286" w:rsidRPr="00A82286" w:rsidRDefault="00A82286" w:rsidP="00A82286">
      <w:pPr>
        <w:rPr>
          <w:rFonts w:ascii="Times New Roman" w:eastAsia="Times New Roman" w:hAnsi="Times New Roman" w:cs="Times New Roman"/>
          <w:lang w:eastAsia="en-GB"/>
        </w:rPr>
      </w:pPr>
      <w:r w:rsidRPr="00A82286">
        <w:rPr>
          <w:rFonts w:ascii="Helvetica" w:eastAsia="Times New Roman" w:hAnsi="Helvetica" w:cs="Times New Roman"/>
          <w:b/>
          <w:bCs/>
          <w:color w:val="455F7C"/>
          <w:sz w:val="23"/>
          <w:szCs w:val="23"/>
          <w:bdr w:val="none" w:sz="0" w:space="0" w:color="auto" w:frame="1"/>
          <w:shd w:val="clear" w:color="auto" w:fill="FFFFFF"/>
          <w:lang w:eastAsia="en-GB"/>
        </w:rPr>
        <w:t>Age distribution in India</w:t>
      </w:r>
    </w:p>
    <w:p w14:paraId="32CA5062" w14:textId="77777777" w:rsidR="001873C2" w:rsidRPr="001873C2" w:rsidRDefault="001873C2" w:rsidP="001873C2">
      <w:pPr>
        <w:rPr>
          <w:rFonts w:ascii="Times New Roman" w:eastAsia="Times New Roman" w:hAnsi="Times New Roman" w:cs="Times New Roman"/>
          <w:lang w:eastAsia="en-GB"/>
        </w:rPr>
      </w:pPr>
      <w:r w:rsidRPr="001873C2">
        <w:rPr>
          <w:rFonts w:ascii="Helvetica" w:eastAsia="Times New Roman" w:hAnsi="Helvetica" w:cs="Times New Roman"/>
          <w:color w:val="455F7C"/>
          <w:sz w:val="23"/>
          <w:szCs w:val="23"/>
          <w:shd w:val="clear" w:color="auto" w:fill="FFFFFF"/>
          <w:lang w:eastAsia="en-GB"/>
        </w:rPr>
        <w:t> This statistic depicts the age distribution of India from 2009 to 2019. In 2019, about 26.62 percent of the Indian population fell into the 0-14 year category, 67 percent into the 15-64 age group and 6.38 percent were over 65 years of age.</w:t>
      </w:r>
    </w:p>
    <w:p w14:paraId="1D462789" w14:textId="7CF6616A" w:rsidR="00A82286" w:rsidRPr="00A82286" w:rsidRDefault="001873C2" w:rsidP="00A82286">
      <w:pPr>
        <w:rPr>
          <w:rFonts w:ascii="Times New Roman" w:eastAsia="Times New Roman" w:hAnsi="Times New Roman" w:cs="Times New Roman"/>
          <w:lang w:eastAsia="en-GB"/>
        </w:rPr>
      </w:pPr>
      <w:hyperlink r:id="rId5" w:history="1">
        <w:r w:rsidRPr="001873C2">
          <w:rPr>
            <w:rStyle w:val="Hyperlink"/>
            <w:rFonts w:ascii="Times New Roman" w:eastAsia="Times New Roman" w:hAnsi="Times New Roman" w:cs="Times New Roman"/>
            <w:lang w:eastAsia="en-GB"/>
          </w:rPr>
          <w:t>Dataset</w:t>
        </w:r>
      </w:hyperlink>
    </w:p>
    <w:p w14:paraId="46DD58E2" w14:textId="1844EB5B" w:rsidR="00A82286" w:rsidRPr="00A82286" w:rsidRDefault="00A82286" w:rsidP="00A82286">
      <w:pPr>
        <w:rPr>
          <w:rFonts w:ascii="Times New Roman" w:eastAsia="Times New Roman" w:hAnsi="Times New Roman" w:cs="Times New Roman"/>
          <w:lang w:eastAsia="en-GB"/>
        </w:rPr>
      </w:pPr>
    </w:p>
    <w:p w14:paraId="31C474C2" w14:textId="34A7B14A" w:rsidR="00A82286" w:rsidRPr="00A82286" w:rsidRDefault="00A82286" w:rsidP="00A82286">
      <w:pPr>
        <w:rPr>
          <w:rFonts w:ascii="Times New Roman" w:eastAsia="Times New Roman" w:hAnsi="Times New Roman" w:cs="Times New Roman"/>
          <w:lang w:eastAsia="en-GB"/>
        </w:rPr>
      </w:pPr>
    </w:p>
    <w:p w14:paraId="063792BF" w14:textId="77777777" w:rsidR="00A82286" w:rsidRPr="00A82286" w:rsidRDefault="00A82286">
      <w:pPr>
        <w:rPr>
          <w:lang w:val="en-US"/>
        </w:rPr>
      </w:pPr>
    </w:p>
    <w:sectPr w:rsidR="00A82286" w:rsidRPr="00A82286" w:rsidSect="00AB18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86"/>
    <w:rsid w:val="001873C2"/>
    <w:rsid w:val="002213F5"/>
    <w:rsid w:val="00A82286"/>
    <w:rsid w:val="00AB18D7"/>
    <w:rsid w:val="00B13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B338C3"/>
  <w15:chartTrackingRefBased/>
  <w15:docId w15:val="{96EB4CB6-544E-A946-B7E1-B7A31E39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2286"/>
  </w:style>
  <w:style w:type="character" w:styleId="Hyperlink">
    <w:name w:val="Hyperlink"/>
    <w:basedOn w:val="DefaultParagraphFont"/>
    <w:uiPriority w:val="99"/>
    <w:unhideWhenUsed/>
    <w:rsid w:val="00A82286"/>
    <w:rPr>
      <w:color w:val="0000FF"/>
      <w:u w:val="single"/>
    </w:rPr>
  </w:style>
  <w:style w:type="character" w:styleId="UnresolvedMention">
    <w:name w:val="Unresolved Mention"/>
    <w:basedOn w:val="DefaultParagraphFont"/>
    <w:uiPriority w:val="99"/>
    <w:semiHidden/>
    <w:unhideWhenUsed/>
    <w:rsid w:val="0018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141006">
      <w:bodyDiv w:val="1"/>
      <w:marLeft w:val="0"/>
      <w:marRight w:val="0"/>
      <w:marTop w:val="0"/>
      <w:marBottom w:val="0"/>
      <w:divBdr>
        <w:top w:val="none" w:sz="0" w:space="0" w:color="auto"/>
        <w:left w:val="none" w:sz="0" w:space="0" w:color="auto"/>
        <w:bottom w:val="none" w:sz="0" w:space="0" w:color="auto"/>
        <w:right w:val="none" w:sz="0" w:space="0" w:color="auto"/>
      </w:divBdr>
    </w:div>
    <w:div w:id="706222784">
      <w:bodyDiv w:val="1"/>
      <w:marLeft w:val="0"/>
      <w:marRight w:val="0"/>
      <w:marTop w:val="0"/>
      <w:marBottom w:val="0"/>
      <w:divBdr>
        <w:top w:val="none" w:sz="0" w:space="0" w:color="auto"/>
        <w:left w:val="none" w:sz="0" w:space="0" w:color="auto"/>
        <w:bottom w:val="none" w:sz="0" w:space="0" w:color="auto"/>
        <w:right w:val="none" w:sz="0" w:space="0" w:color="auto"/>
      </w:divBdr>
    </w:div>
    <w:div w:id="730150604">
      <w:bodyDiv w:val="1"/>
      <w:marLeft w:val="0"/>
      <w:marRight w:val="0"/>
      <w:marTop w:val="0"/>
      <w:marBottom w:val="0"/>
      <w:divBdr>
        <w:top w:val="none" w:sz="0" w:space="0" w:color="auto"/>
        <w:left w:val="none" w:sz="0" w:space="0" w:color="auto"/>
        <w:bottom w:val="none" w:sz="0" w:space="0" w:color="auto"/>
        <w:right w:val="none" w:sz="0" w:space="0" w:color="auto"/>
      </w:divBdr>
    </w:div>
    <w:div w:id="843737970">
      <w:bodyDiv w:val="1"/>
      <w:marLeft w:val="0"/>
      <w:marRight w:val="0"/>
      <w:marTop w:val="0"/>
      <w:marBottom w:val="0"/>
      <w:divBdr>
        <w:top w:val="none" w:sz="0" w:space="0" w:color="auto"/>
        <w:left w:val="none" w:sz="0" w:space="0" w:color="auto"/>
        <w:bottom w:val="none" w:sz="0" w:space="0" w:color="auto"/>
        <w:right w:val="none" w:sz="0" w:space="0" w:color="auto"/>
      </w:divBdr>
    </w:div>
    <w:div w:id="1329476908">
      <w:bodyDiv w:val="1"/>
      <w:marLeft w:val="0"/>
      <w:marRight w:val="0"/>
      <w:marTop w:val="0"/>
      <w:marBottom w:val="0"/>
      <w:divBdr>
        <w:top w:val="none" w:sz="0" w:space="0" w:color="auto"/>
        <w:left w:val="none" w:sz="0" w:space="0" w:color="auto"/>
        <w:bottom w:val="none" w:sz="0" w:space="0" w:color="auto"/>
        <w:right w:val="none" w:sz="0" w:space="0" w:color="auto"/>
      </w:divBdr>
    </w:div>
    <w:div w:id="1844591556">
      <w:bodyDiv w:val="1"/>
      <w:marLeft w:val="0"/>
      <w:marRight w:val="0"/>
      <w:marTop w:val="0"/>
      <w:marBottom w:val="0"/>
      <w:divBdr>
        <w:top w:val="none" w:sz="0" w:space="0" w:color="auto"/>
        <w:left w:val="none" w:sz="0" w:space="0" w:color="auto"/>
        <w:bottom w:val="none" w:sz="0" w:space="0" w:color="auto"/>
        <w:right w:val="none" w:sz="0" w:space="0" w:color="auto"/>
      </w:divBdr>
    </w:div>
    <w:div w:id="191288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atista.com/statistics/271315/age-distribution-in-india/" TargetMode="External"/><Relationship Id="rId4" Type="http://schemas.openxmlformats.org/officeDocument/2006/relationships/hyperlink" Target="https://cddep.org/wp-content/uploads/2020/04/State-wise-estimates-of-current-beds-and-ventilators_24Apr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Tammana</dc:creator>
  <cp:keywords/>
  <dc:description/>
  <cp:lastModifiedBy>Pallavi Tammana</cp:lastModifiedBy>
  <cp:revision>1</cp:revision>
  <dcterms:created xsi:type="dcterms:W3CDTF">2020-08-04T08:14:00Z</dcterms:created>
  <dcterms:modified xsi:type="dcterms:W3CDTF">2020-08-04T08:38:00Z</dcterms:modified>
</cp:coreProperties>
</file>