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reset</w:t>
      </w:r>
    </w:p>
    <w:p>
      <w:r>
        <w:t>To reset your password open Settings and choose Reset Password. A confirmation email is sent to the registered address on file.</w:t>
      </w:r>
    </w:p>
    <w:p>
      <w:pPr>
        <w:pStyle w:val="Heading1"/>
      </w:pPr>
      <w:r>
        <w:t>Billing</w:t>
      </w:r>
    </w:p>
    <w:p>
      <w:r>
        <w:t>Invoices are issued monthly and include per-seat licence charges. Volume discounts apply above fifty seats.</w:t>
      </w:r>
    </w:p>
    <w:p>
      <w:pPr>
        <w:pStyle w:val="Heading1"/>
      </w:pPr>
      <w:r>
        <w:t>Troubleshooting</w:t>
      </w:r>
    </w:p>
    <w:p>
      <w:r>
        <w:t>ERR_LOCK_TIMEOUT indicates the work queue is saturated. Restart the worker pool to clear the condition.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