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Password reset</w:t>
      </w:r>
    </w:p>
    <w:p>
      <w:r>
        <w:t>To reset your password open Settings and choose Reset Password. A confirmation email is sent to the registered address on file.</w:t>
      </w:r>
    </w:p>
    <w:p>
      <w:pPr>
        <w:pStyle w:val="Heading1"/>
      </w:pPr>
      <w:r>
        <w:t>Billing</w:t>
      </w:r>
    </w:p>
    <w:p>
      <w:r>
        <w:t>Invoices are issued monthly and include per-seat licence charges. Volume discounts apply above fifty seats.</w:t>
      </w:r>
    </w:p>
    <w:p>
      <w:pPr>
        <w:pStyle w:val="Heading1"/>
      </w:pPr>
      <w:r>
        <w:t>Troubleshooting</w:t>
      </w:r>
    </w:p>
    <w:p>
      <w:r>
        <w:t>ERR_LOCK_TIMEOUT indicates the work queue is saturated. Restart the worker pool to clear the condition.</w:t>
      </w:r>
    </w:p>
    <w:p>
      <w:pPr>
        <w:pStyle w:val="Heading1"/>
      </w:pPr>
      <w:r>
        <w:t>Leave policy</w:t>
      </w:r>
    </w:p>
    <w:p>
      <w:r>
        <w:t>Annual leave is twenty five days plus public holidays. Requests go through the admin console.</w:t>
      </w:r>
    </w:p>
    <w:p>
      <w:pPr>
        <w:pStyle w:val="Heading1"/>
      </w:pPr>
      <w:r>
        <w:t>Expenses</w:t>
      </w:r>
    </w:p>
    <w:p>
      <w:r>
        <w:t>Submit expenses within thirty days with a receipt attached. Approval sits with the line manager.</w:t>
      </w:r>
    </w:p>
    <w:p>
      <w:pPr>
        <w:pStyle w:val="Heading1"/>
      </w:pPr>
      <w:r>
        <w:t>Equipment</w:t>
      </w:r>
    </w:p>
    <w:p>
      <w:r>
        <w:t>Laptops are replaced on a three year cycle. Report damage to the IT desk.</w:t>
      </w:r>
    </w:p>
    <w:p>
      <w:pPr>
        <w:pStyle w:val="Heading1"/>
      </w:pPr>
      <w:r>
        <w:t>Working hours</w:t>
      </w:r>
    </w:p>
    <w:p>
      <w:r>
        <w:t>Core hours are ten to four in local time. Flexible start and finish times are supported.</w:t>
      </w:r>
    </w:p>
    <w:p>
      <w:pPr>
        <w:pStyle w:val="Heading1"/>
      </w:pPr>
      <w:r>
        <w:t>Probation</w:t>
      </w:r>
    </w:p>
    <w:p>
      <w:r>
        <w:t>The probation period is six months with a review at three.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