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05C" w:rsidRPr="0020105C" w:rsidRDefault="0020105C" w:rsidP="00201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10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02_EDA_and_Dashboard_Insights.docx</w:t>
      </w:r>
    </w:p>
    <w:p w:rsidR="0020105C" w:rsidRPr="0020105C" w:rsidRDefault="0020105C" w:rsidP="00201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10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Objective</w:t>
      </w:r>
    </w:p>
    <w:p w:rsidR="0020105C" w:rsidRPr="0020105C" w:rsidRDefault="0020105C" w:rsidP="00201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this phase was to explore customer behavior, identify churn-driving factors, and present insights through an interactive dashboard. Exploratory Data Analysis (EDA) was used to understand patterns, which were then translated into a Power BI dashboard for stakeholder-friendly visualization.</w:t>
      </w:r>
    </w:p>
    <w:p w:rsidR="0020105C" w:rsidRPr="0020105C" w:rsidRDefault="0020105C" w:rsidP="00201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0105C" w:rsidRPr="0020105C" w:rsidRDefault="0020105C" w:rsidP="00201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10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Dataset Used</w:t>
      </w:r>
    </w:p>
    <w:p w:rsidR="0020105C" w:rsidRPr="0020105C" w:rsidRDefault="0020105C" w:rsidP="00201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Dataset:</w:t>
      </w: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Telco Customer Churn</w:t>
      </w:r>
    </w:p>
    <w:p w:rsidR="0020105C" w:rsidRPr="0020105C" w:rsidRDefault="0020105C" w:rsidP="00201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Source:</w:t>
      </w: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Processed and cleaned dataset</w:t>
      </w:r>
    </w:p>
    <w:p w:rsidR="0020105C" w:rsidRPr="0020105C" w:rsidRDefault="0020105C" w:rsidP="00201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Records:</w:t>
      </w: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~7,000 customers</w:t>
      </w:r>
    </w:p>
    <w:p w:rsidR="0020105C" w:rsidRPr="0020105C" w:rsidRDefault="0020105C" w:rsidP="00201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Variable:</w:t>
      </w: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105C">
        <w:rPr>
          <w:rFonts w:ascii="Courier New" w:eastAsia="Times New Roman" w:hAnsi="Courier New" w:cs="Courier New"/>
          <w:sz w:val="20"/>
          <w:lang w:eastAsia="en-IN"/>
        </w:rPr>
        <w:t>Churn</w:t>
      </w: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(0 = No, 1 = Yes)</w:t>
      </w:r>
    </w:p>
    <w:p w:rsidR="0020105C" w:rsidRPr="0020105C" w:rsidRDefault="0020105C" w:rsidP="00201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includes customer demographics, contract details, service usage, billing information, and tenure.</w:t>
      </w:r>
    </w:p>
    <w:p w:rsidR="0020105C" w:rsidRPr="0020105C" w:rsidRDefault="0020105C" w:rsidP="00201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0105C" w:rsidRPr="0020105C" w:rsidRDefault="0020105C" w:rsidP="00201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10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Key EDA Findings</w:t>
      </w:r>
    </w:p>
    <w:p w:rsidR="0020105C" w:rsidRPr="0020105C" w:rsidRDefault="0020105C" w:rsidP="002010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3.1 Churn Distribution</w:t>
      </w:r>
    </w:p>
    <w:p w:rsidR="0020105C" w:rsidRPr="0020105C" w:rsidRDefault="0020105C" w:rsidP="00201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is imbalanced, with significantly more non-churned customers than churned customers.</w:t>
      </w:r>
    </w:p>
    <w:p w:rsidR="0020105C" w:rsidRPr="0020105C" w:rsidRDefault="0020105C" w:rsidP="00201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imbalance justified the use of recall-focused evaluation during modeling.</w:t>
      </w:r>
    </w:p>
    <w:p w:rsidR="0020105C" w:rsidRPr="0020105C" w:rsidRDefault="0020105C" w:rsidP="00201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0105C" w:rsidRPr="0020105C" w:rsidRDefault="0020105C" w:rsidP="002010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3.2 Churn by Contract Type</w:t>
      </w:r>
    </w:p>
    <w:p w:rsidR="0020105C" w:rsidRPr="0020105C" w:rsidRDefault="0020105C" w:rsidP="002010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Month-to-month contract customers exhibit the </w:t>
      </w:r>
      <w:r w:rsidRPr="002010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highest churn rate</w:t>
      </w: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0105C" w:rsidRPr="0020105C" w:rsidRDefault="0020105C" w:rsidP="002010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>One-year and two-year contracts show substantially lower churn.</w:t>
      </w:r>
    </w:p>
    <w:p w:rsidR="0020105C" w:rsidRPr="0020105C" w:rsidRDefault="0020105C" w:rsidP="00201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Long-term contracts increase customer commitment and reduce churn risk.</w:t>
      </w:r>
    </w:p>
    <w:p w:rsidR="0020105C" w:rsidRPr="0020105C" w:rsidRDefault="0020105C" w:rsidP="00201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0105C" w:rsidRPr="0020105C" w:rsidRDefault="0020105C" w:rsidP="002010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3.3 Churn vs Tenure</w:t>
      </w:r>
    </w:p>
    <w:p w:rsidR="0020105C" w:rsidRPr="0020105C" w:rsidRDefault="0020105C" w:rsidP="002010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Customers with tenure between </w:t>
      </w:r>
      <w:r w:rsidRPr="002010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0–12 months</w:t>
      </w: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most likely to churn.</w:t>
      </w:r>
    </w:p>
    <w:p w:rsidR="0020105C" w:rsidRPr="0020105C" w:rsidRDefault="0020105C" w:rsidP="002010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>Churn probability decreases steadily as tenure increases.</w:t>
      </w:r>
    </w:p>
    <w:p w:rsidR="0020105C" w:rsidRPr="0020105C" w:rsidRDefault="0020105C" w:rsidP="00201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Insight:</w:t>
      </w: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Early-stage customers represent the highest churn risk and should be prioritized for retention strategies.</w:t>
      </w:r>
    </w:p>
    <w:p w:rsidR="0020105C" w:rsidRPr="0020105C" w:rsidRDefault="0020105C" w:rsidP="00201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0105C" w:rsidRPr="0020105C" w:rsidRDefault="0020105C" w:rsidP="002010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3.4 Churn vs Monthly Charges</w:t>
      </w:r>
    </w:p>
    <w:p w:rsidR="0020105C" w:rsidRPr="0020105C" w:rsidRDefault="0020105C" w:rsidP="002010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with higher monthly charges show higher churn rates.</w:t>
      </w:r>
    </w:p>
    <w:p w:rsidR="0020105C" w:rsidRPr="0020105C" w:rsidRDefault="0020105C" w:rsidP="002010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>Pricing sensitivity plays a significant role in churn behavior.</w:t>
      </w:r>
    </w:p>
    <w:p w:rsidR="0020105C" w:rsidRPr="0020105C" w:rsidRDefault="0020105C" w:rsidP="00201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High-paying customers may require additional perceived value or incentives to retain them.</w:t>
      </w:r>
    </w:p>
    <w:p w:rsidR="0020105C" w:rsidRPr="0020105C" w:rsidRDefault="0020105C" w:rsidP="00201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0105C" w:rsidRPr="0020105C" w:rsidRDefault="0020105C" w:rsidP="002010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3.5 Impact of Services on Churn</w:t>
      </w:r>
    </w:p>
    <w:p w:rsidR="0020105C" w:rsidRPr="0020105C" w:rsidRDefault="0020105C" w:rsidP="002010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Customers using services such as </w:t>
      </w:r>
      <w:r w:rsidRPr="002010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Support</w:t>
      </w: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010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Online Security</w:t>
      </w: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churn less frequently.</w:t>
      </w:r>
    </w:p>
    <w:p w:rsidR="0020105C" w:rsidRPr="0020105C" w:rsidRDefault="0020105C" w:rsidP="002010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>Value-added services improve customer retention.</w:t>
      </w:r>
    </w:p>
    <w:p w:rsidR="0020105C" w:rsidRPr="0020105C" w:rsidRDefault="0020105C" w:rsidP="00201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Bundling support and security services can be an effective churn-reduction strategy.</w:t>
      </w:r>
    </w:p>
    <w:p w:rsidR="0020105C" w:rsidRPr="0020105C" w:rsidRDefault="0020105C" w:rsidP="00201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0105C" w:rsidRPr="0020105C" w:rsidRDefault="0020105C" w:rsidP="00201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10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Dashboard Design Overview</w:t>
      </w:r>
    </w:p>
    <w:p w:rsidR="0020105C" w:rsidRPr="0020105C" w:rsidRDefault="0020105C" w:rsidP="00201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>The Power BI dashboard was designed to provide:</w:t>
      </w:r>
    </w:p>
    <w:p w:rsidR="0020105C" w:rsidRPr="0020105C" w:rsidRDefault="0020105C" w:rsidP="002010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>A high-level churn overview</w:t>
      </w:r>
    </w:p>
    <w:p w:rsidR="0020105C" w:rsidRPr="0020105C" w:rsidRDefault="0020105C" w:rsidP="002010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Identification of high-risk customer segments</w:t>
      </w:r>
    </w:p>
    <w:p w:rsidR="0020105C" w:rsidRPr="0020105C" w:rsidRDefault="0020105C" w:rsidP="002010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exploration using filters</w:t>
      </w:r>
    </w:p>
    <w:p w:rsidR="0020105C" w:rsidRPr="0020105C" w:rsidRDefault="0020105C" w:rsidP="00201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0105C" w:rsidRPr="0020105C" w:rsidRDefault="0020105C" w:rsidP="00201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10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Dashboard Components</w:t>
      </w:r>
    </w:p>
    <w:p w:rsidR="0020105C" w:rsidRPr="0020105C" w:rsidRDefault="0020105C" w:rsidP="002010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5.1 KPI Section</w:t>
      </w:r>
    </w:p>
    <w:p w:rsidR="0020105C" w:rsidRPr="0020105C" w:rsidRDefault="0020105C" w:rsidP="002010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Customers</w:t>
      </w:r>
    </w:p>
    <w:p w:rsidR="0020105C" w:rsidRPr="0020105C" w:rsidRDefault="0020105C" w:rsidP="002010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>Churn Rate (%)</w:t>
      </w:r>
    </w:p>
    <w:p w:rsidR="0020105C" w:rsidRPr="0020105C" w:rsidRDefault="0020105C" w:rsidP="002010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Monthly Charges</w:t>
      </w:r>
    </w:p>
    <w:p w:rsidR="0020105C" w:rsidRPr="0020105C" w:rsidRDefault="0020105C" w:rsidP="002010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Tenure</w:t>
      </w:r>
    </w:p>
    <w:p w:rsidR="0020105C" w:rsidRPr="0020105C" w:rsidRDefault="0020105C" w:rsidP="00201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KPIs provide instant context for stakeholders.</w:t>
      </w:r>
    </w:p>
    <w:p w:rsidR="0020105C" w:rsidRPr="0020105C" w:rsidRDefault="0020105C" w:rsidP="00201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0105C" w:rsidRPr="0020105C" w:rsidRDefault="0020105C" w:rsidP="002010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5.2 Core Visuals</w:t>
      </w:r>
    </w:p>
    <w:p w:rsidR="0020105C" w:rsidRPr="0020105C" w:rsidRDefault="0020105C" w:rsidP="002010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>Churn Rate by Contract Type</w:t>
      </w:r>
    </w:p>
    <w:p w:rsidR="0020105C" w:rsidRPr="0020105C" w:rsidRDefault="0020105C" w:rsidP="002010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>Churn Rate by Tenure Group</w:t>
      </w:r>
    </w:p>
    <w:p w:rsidR="0020105C" w:rsidRPr="0020105C" w:rsidRDefault="0020105C" w:rsidP="002010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>Churn Rate by Monthly Charges Group</w:t>
      </w:r>
    </w:p>
    <w:p w:rsidR="0020105C" w:rsidRPr="0020105C" w:rsidRDefault="0020105C" w:rsidP="002010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>Churn Rate by Tech Support Usage</w:t>
      </w:r>
    </w:p>
    <w:p w:rsidR="0020105C" w:rsidRPr="0020105C" w:rsidRDefault="0020105C" w:rsidP="00201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0105C" w:rsidRPr="0020105C" w:rsidRDefault="0020105C" w:rsidP="002010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5.3 Filters (Slicers)</w:t>
      </w:r>
    </w:p>
    <w:p w:rsidR="0020105C" w:rsidRPr="0020105C" w:rsidRDefault="0020105C" w:rsidP="002010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 Type</w:t>
      </w:r>
    </w:p>
    <w:p w:rsidR="0020105C" w:rsidRPr="0020105C" w:rsidRDefault="0020105C" w:rsidP="002010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Service</w:t>
      </w:r>
    </w:p>
    <w:p w:rsidR="0020105C" w:rsidRPr="0020105C" w:rsidRDefault="0020105C" w:rsidP="002010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Method</w:t>
      </w:r>
    </w:p>
    <w:p w:rsidR="0020105C" w:rsidRPr="0020105C" w:rsidRDefault="0020105C" w:rsidP="002010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>Gender</w:t>
      </w:r>
    </w:p>
    <w:p w:rsidR="0020105C" w:rsidRPr="0020105C" w:rsidRDefault="0020105C" w:rsidP="00201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Filters allow dynamic exploration of churn behavior across customer segments.</w:t>
      </w:r>
    </w:p>
    <w:p w:rsidR="0020105C" w:rsidRPr="0020105C" w:rsidRDefault="0020105C" w:rsidP="00201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0105C" w:rsidRPr="0020105C" w:rsidRDefault="0020105C" w:rsidP="00201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10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Smart Narrative Usage</w:t>
      </w:r>
    </w:p>
    <w:p w:rsidR="0020105C" w:rsidRPr="0020105C" w:rsidRDefault="0020105C" w:rsidP="00201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>A Smart Narrative visual was included to automatically summarize insights based on the current filters and visuals. This ensures that insights remain dynamic and context-aware as users interact with the dashboard.</w:t>
      </w:r>
    </w:p>
    <w:p w:rsidR="0020105C" w:rsidRPr="0020105C" w:rsidRDefault="0020105C" w:rsidP="00201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20105C" w:rsidRPr="0020105C" w:rsidRDefault="0020105C" w:rsidP="00201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10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Business Implications</w:t>
      </w:r>
    </w:p>
    <w:p w:rsidR="0020105C" w:rsidRPr="0020105C" w:rsidRDefault="0020105C" w:rsidP="002010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>Retention efforts should focus on month-to-month customers with low tenure.</w:t>
      </w:r>
    </w:p>
    <w:p w:rsidR="0020105C" w:rsidRPr="0020105C" w:rsidRDefault="0020105C" w:rsidP="002010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>Early engagement strategies are critical during the first year.</w:t>
      </w:r>
    </w:p>
    <w:p w:rsidR="0020105C" w:rsidRPr="0020105C" w:rsidRDefault="0020105C" w:rsidP="002010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>Pricing strategies should consider churn sensitivity.</w:t>
      </w:r>
    </w:p>
    <w:p w:rsidR="0020105C" w:rsidRPr="0020105C" w:rsidRDefault="0020105C" w:rsidP="002010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>Promoting value-added services can improve retention.</w:t>
      </w:r>
    </w:p>
    <w:p w:rsidR="0020105C" w:rsidRPr="0020105C" w:rsidRDefault="0020105C" w:rsidP="00201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20105C" w:rsidRPr="0020105C" w:rsidRDefault="0020105C" w:rsidP="00201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10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Conclusion</w:t>
      </w:r>
    </w:p>
    <w:p w:rsidR="0020105C" w:rsidRPr="0020105C" w:rsidRDefault="0020105C" w:rsidP="00201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05C">
        <w:rPr>
          <w:rFonts w:ascii="Times New Roman" w:eastAsia="Times New Roman" w:hAnsi="Times New Roman" w:cs="Times New Roman"/>
          <w:sz w:val="24"/>
          <w:szCs w:val="24"/>
          <w:lang w:eastAsia="en-IN"/>
        </w:rPr>
        <w:t>EDA combined with dashboard visualization provided a clear understanding of customer churn drivers. These insights directly supported feature selection and model design in the modeling phase, ensuring alignment between analytics and business objectives.</w:t>
      </w:r>
    </w:p>
    <w:p w:rsidR="005025CB" w:rsidRDefault="005025CB"/>
    <w:sectPr w:rsidR="005025CB" w:rsidSect="005025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662371"/>
    <w:multiLevelType w:val="multilevel"/>
    <w:tmpl w:val="B990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590B82"/>
    <w:multiLevelType w:val="multilevel"/>
    <w:tmpl w:val="7B98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1155B7"/>
    <w:multiLevelType w:val="multilevel"/>
    <w:tmpl w:val="4C7C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F4214D"/>
    <w:multiLevelType w:val="multilevel"/>
    <w:tmpl w:val="638A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D61700"/>
    <w:multiLevelType w:val="multilevel"/>
    <w:tmpl w:val="4614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6D35513"/>
    <w:multiLevelType w:val="multilevel"/>
    <w:tmpl w:val="E4BA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0330038"/>
    <w:multiLevelType w:val="multilevel"/>
    <w:tmpl w:val="49CA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6966119"/>
    <w:multiLevelType w:val="multilevel"/>
    <w:tmpl w:val="94F8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10344C6"/>
    <w:multiLevelType w:val="multilevel"/>
    <w:tmpl w:val="21E8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5243312"/>
    <w:multiLevelType w:val="multilevel"/>
    <w:tmpl w:val="D028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EC051F3"/>
    <w:multiLevelType w:val="multilevel"/>
    <w:tmpl w:val="3616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2"/>
  </w:num>
  <w:num w:numId="5">
    <w:abstractNumId w:val="5"/>
  </w:num>
  <w:num w:numId="6">
    <w:abstractNumId w:val="10"/>
  </w:num>
  <w:num w:numId="7">
    <w:abstractNumId w:val="6"/>
  </w:num>
  <w:num w:numId="8">
    <w:abstractNumId w:val="0"/>
  </w:num>
  <w:num w:numId="9">
    <w:abstractNumId w:val="3"/>
  </w:num>
  <w:num w:numId="10">
    <w:abstractNumId w:val="9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defaultTabStop w:val="720"/>
  <w:characterSpacingControl w:val="doNotCompress"/>
  <w:savePreviewPicture/>
  <w:compat/>
  <w:rsids>
    <w:rsidRoot w:val="0020105C"/>
    <w:rsid w:val="0020105C"/>
    <w:rsid w:val="005025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25CB"/>
  </w:style>
  <w:style w:type="paragraph" w:styleId="Heading2">
    <w:name w:val="heading 2"/>
    <w:basedOn w:val="Normal"/>
    <w:link w:val="Heading2Char"/>
    <w:uiPriority w:val="9"/>
    <w:qFormat/>
    <w:rsid w:val="002010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010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20105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0105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0105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0105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010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010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010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065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493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MVS Sastri</dc:creator>
  <cp:keywords/>
  <dc:description/>
  <cp:lastModifiedBy>MVS Sastri</cp:lastModifiedBy>
  <cp:revision>2</cp:revision>
  <dcterms:created xsi:type="dcterms:W3CDTF">2026-01-29T17:18:00Z</dcterms:created>
  <dcterms:modified xsi:type="dcterms:W3CDTF">2026-01-29T17:18:00Z</dcterms:modified>
</cp:coreProperties>
</file>