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Modulul de Stres Eolian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Platformă de Predicție Multi-Risc pentru Malus domestica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Ferma Didactică și de Cercetare Rusciori — ULBS Sibiu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Fundament Științific și Documentație Tehnică v4.0</w:t>
      </w: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Principiu Fizic — Forța Aerodinamică de Tracțiune (Drag)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Acțiunea mecanică a vântului asupra coroanei pomilor fructiferi este guvernată de relația pătratică dintre viteza vântului și forța exercitată. Modulul utilizează formula clasică a forței de tracțiune aerodinamică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drag force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F_drag = (1/2) · ρ · C_d · A · v²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Valoare tipică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Semnificație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Densitatea aerului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1.225 kg/m³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15°C, nivel mării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 de drag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0.30–0.45 (fus subțire); 0.50–0.70 (glob dens)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Variază cu porozitatea coroanei și sezonul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Suprafața frontală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m²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Măr semipitic, proiecție frontală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Viteza vântului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m/s (rafală maximă)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Variabila de calcul principală</w:t>
            </w:r>
          </w:p>
        </w:tc>
      </w:tr>
    </w:tbl>
    <w:p>
      <w:pPr>
        <w:spacing w:after="80" w:before="12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Momentul de încovoiere la baza trunchiului</w:t>
      </w:r>
      <w:r>
        <w:rPr>
          <w:rFonts w:ascii="Arial" w:cs="Arial" w:eastAsia="Arial" w:hAnsi="Arial"/>
          <w:sz w:val="22"/>
          <w:szCs w:val="22"/>
        </w:rPr>
        <w:t xml:space="preserve"> (forța structurală transmisă sistemului radicular și punctului de altoire):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M_b = F_drag · h_eff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h_eff</w:t>
      </w:r>
      <w:r>
        <w:rPr>
          <w:rFonts w:ascii="Arial" w:cs="Arial" w:eastAsia="Arial" w:hAnsi="Arial"/>
          <w:sz w:val="22"/>
          <w:szCs w:val="22"/>
        </w:rPr>
        <w:t xml:space="preserve"> = înălțimea centrului de presiune al coroanei față de sol. Pentru un măr semipitic cu v_medie = 10 m/s, C_d = 0.40, A = 6 m², h_eff = 2.0 m: F_medie = 147 N, M_b = 294 N·m.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Coeficientul de drag al coroanei nu este constant — scade cu creșterea porozității și variază sezonier (frunziș prezent vs. absent). Valorile din turbulența turbionară de canopee sunt sistematic mai mari decât cele din curent laminar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(Finnigan, 2000)</w:t>
      </w: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Factorul de Rafală G și Implicațiile Structurale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Deoarece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 ∝ v²</w:t>
      </w:r>
      <w:r>
        <w:rPr>
          <w:rFonts w:ascii="Arial" w:cs="Arial" w:eastAsia="Arial" w:hAnsi="Arial"/>
          <w:sz w:val="22"/>
          <w:szCs w:val="22"/>
        </w:rPr>
        <w:t xml:space="preserve">, raportul dintre forța unei rafale și forța generată de viteza medie este: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G = V_rafală / V_medie     →     F_rafală / F_medie = G²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Factorul de rafală G variază tipic între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1.5–2.5</w:t>
      </w:r>
      <w:r>
        <w:rPr>
          <w:rFonts w:ascii="Arial" w:cs="Arial" w:eastAsia="Arial" w:hAnsi="Arial"/>
          <w:sz w:val="22"/>
          <w:szCs w:val="22"/>
        </w:rPr>
        <w:t xml:space="preserve"> în funcție de rugozitatea terenului (teren agricol deschis vs. urban). O rafală cu G = 1.5 față de medie produce un moment de încovoiere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2.25×</w:t>
      </w:r>
      <w:r>
        <w:rPr>
          <w:rFonts w:ascii="Arial" w:cs="Arial" w:eastAsia="Arial" w:hAnsi="Arial"/>
          <w:sz w:val="22"/>
          <w:szCs w:val="22"/>
        </w:rPr>
        <w:t xml:space="preserve"> mai mare; la G = 2.5, forța structurală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6.25×</w:t>
      </w:r>
      <w:r>
        <w:rPr>
          <w:rFonts w:ascii="Arial" w:cs="Arial" w:eastAsia="Arial" w:hAnsi="Arial"/>
          <w:sz w:val="22"/>
          <w:szCs w:val="22"/>
        </w:rPr>
        <w:t xml:space="preserve"> mai mare decât cea calculată pe baza vitezei medii.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Exemplu numeric (datele Rusciori, 16 mai):</w:t>
      </w:r>
      <w:r>
        <w:rPr>
          <w:rFonts w:ascii="Arial" w:cs="Arial" w:eastAsia="Arial" w:hAnsi="Arial"/>
          <w:sz w:val="22"/>
          <w:szCs w:val="22"/>
        </w:rPr>
        <w:t xml:space="preserve"> V_rafală_max = 8.5 m/s, V_medie_24h = 1.1 m/s → G = 7.7 → F_rafală = 59.3× F_medie. Valoare ridicată explicată prin pattern diurn: calm nocturn (0.0 m/s) și activitate eoliană intensă la prânz (ore 12–15), specific zonei Sibiu în mai.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Implementare în platformă:</w:t>
      </w:r>
      <w:r>
        <w:rPr>
          <w:rFonts w:ascii="Arial" w:cs="Arial" w:eastAsia="Arial" w:hAnsi="Arial"/>
          <w:sz w:val="22"/>
          <w:szCs w:val="22"/>
        </w:rPr>
        <w:t xml:space="preserve"> G este calculat exclusiv pe date măsurate din același interval de 24h (max windGust / avg windSpeed). Garda minimă: viteza medie ≥ 0.3 m/s. Sub această valoare, raportul nu este reprezentativ fizic și se afișează N/A. G_prognoză utilizează rafala prognozată OWM raportată la media măsurată ca proxy.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(Stull, 1988; Gardiner et al., 2016; Moore &amp; Maguire, 2005)</w:t>
      </w: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Amplificarea Dinamică prin Rezonanță (DAF)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Frecvența naturală de oscilație a pomilor fructiferi se situează între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0.5–1.5 Hz</w:t>
      </w:r>
      <w:r>
        <w:rPr>
          <w:rFonts w:ascii="Arial" w:cs="Arial" w:eastAsia="Arial" w:hAnsi="Arial"/>
          <w:sz w:val="22"/>
          <w:szCs w:val="22"/>
        </w:rPr>
        <w:t xml:space="preserve">. Dacă frecvența dominantă a rafalăelor (turbulența Kármán) coincide cu frecvența proprie a pomului, apare un fenomen de rezonanță caracterizat printr-un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Factor de Amplificare Dinamică (DAF) = 1.5–3.0</w:t>
      </w:r>
      <w:r>
        <w:rPr>
          <w:rFonts w:ascii="Arial" w:cs="Arial" w:eastAsia="Arial" w:hAnsi="Arial"/>
          <w:sz w:val="22"/>
          <w:szCs w:val="22"/>
        </w:rPr>
        <w:t xml:space="preserve">. Aceasta înseamnă că momentul real la baza trunchiului poate depăși cu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50–200%</w:t>
      </w:r>
      <w:r>
        <w:rPr>
          <w:rFonts w:ascii="Arial" w:cs="Arial" w:eastAsia="Arial" w:hAnsi="Arial"/>
          <w:sz w:val="22"/>
          <w:szCs w:val="22"/>
        </w:rPr>
        <w:t xml:space="preserve"> valoarea calculată static prin formula drag.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Consecința practică: viteza medie orară sau zilnică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 este un indicator suficient</w:t>
      </w:r>
      <w:r>
        <w:rPr>
          <w:rFonts w:ascii="Arial" w:cs="Arial" w:eastAsia="Arial" w:hAnsi="Arial"/>
          <w:sz w:val="22"/>
          <w:szCs w:val="22"/>
        </w:rPr>
        <w:t xml:space="preserve"> pentru evaluarea riscului structural. Platforma utilizează exclusiv viteza maximă instantanee (rafală, medie pe 3 secunde conform WMO) ca variabilă de decizie.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(Moore &amp; Maguire, 2005; Gardiner et al., 2016)</w:t>
      </w: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Praguri de Vulnerabilitate pe Fenofaze BBCH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Modulul implementează un sistem de praguri variabile corelat cu fenofaza calculată determinist prin acumulare GDD (baza 4.5°C). Clasificarea utilizează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niveluri de alertă: INEXISTENT / MODERAT / RIDICAT</w:t>
      </w:r>
      <w:r>
        <w:rPr>
          <w:rFonts w:ascii="Arial" w:cs="Arial" w:eastAsia="Arial" w:hAnsi="Arial"/>
          <w:sz w:val="22"/>
          <w:szCs w:val="22"/>
        </w:rPr>
        <w:t xml:space="preserve">, mapate la scala BBCH pentru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Malus domestica</w:t>
      </w:r>
      <w:r>
        <w:rPr>
          <w:rFonts w:ascii="Arial" w:cs="Arial" w:eastAsia="Arial" w:hAnsi="Arial"/>
          <w:sz w:val="22"/>
          <w:szCs w:val="22"/>
        </w:rPr>
        <w:t xml:space="preserve"> conform Meier (2001).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4.1 BBCH 00–09 | Repaus Vegetativ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Lemn dormant cu rezistență mecanică maximă. Coeficientul de drag este redus cu ~35% față de sezonul de vegetație datorită absenței frunzișului. Riscul dominant: sarcini combinate zăpadă + vânt la T &lt; −5°C (fragilizare criogenă).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 structural cu sarcini de zăpadă (&gt;5 kg/m²); fragilizare criogenă posibilă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18.0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Rupere ramuri scheletice; risc zona de grefă și inserții (MOR Malus: 60–80 MPa)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zăpadă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T_min &lt; −5°C + ploi &gt;5mm/72h + vânt &gt; prag MODERAT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Alertă sarcină combinată zăpadă+vânt (Coutts &amp; Grace, 1995)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4.2 BBCH 51–59 | Umflarea Mugurilor, Dezmugurit, Buton Roz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Muguri edentați = receptori mecanici vulnerabili. Abraziunea epidermei mugurale creează micro-leziuni care constituie porți de intrare pentru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Nectria galligena</w:t>
      </w:r>
      <w:r>
        <w:rPr>
          <w:rFonts w:ascii="Arial" w:cs="Arial" w:eastAsia="Arial" w:hAnsi="Arial"/>
          <w:sz w:val="22"/>
          <w:szCs w:val="22"/>
        </w:rPr>
        <w:t xml:space="preserve"> și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Botrytis cinerea</w:t>
      </w:r>
      <w:r>
        <w:rPr>
          <w:rFonts w:ascii="Arial" w:cs="Arial" w:eastAsia="Arial" w:hAnsi="Arial"/>
          <w:sz w:val="22"/>
          <w:szCs w:val="22"/>
        </w:rPr>
        <w:t xml:space="preserve">. Efect secundar: răcire convectivă accelerată amplifică expunerea la ger târziu.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Abraziune pronunțată + răcire convectivă; An net −30 până la −60% (stomate închise)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Rupere ramuri fructifere anuale; leziuni bifurcații (concentratori de tensiune)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4.3 BBCH 60–69 | Înflorire și Polenizare — Fenofaza Cea Mai Vulnerabilă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Malus domestica</w:t>
      </w:r>
      <w:r>
        <w:rPr>
          <w:rFonts w:ascii="Arial" w:cs="Arial" w:eastAsia="Arial" w:hAnsi="Arial"/>
          <w:sz w:val="22"/>
          <w:szCs w:val="22"/>
        </w:rPr>
        <w:t xml:space="preserve"> este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obligatoriu entomofilă</w:t>
      </w:r>
      <w:r>
        <w:rPr>
          <w:rFonts w:ascii="Arial" w:cs="Arial" w:eastAsia="Arial" w:hAnsi="Arial"/>
          <w:sz w:val="22"/>
          <w:szCs w:val="22"/>
        </w:rPr>
        <w:t xml:space="preserve"> — vântul nu suplinește polenizarea, ci perturbă polinizatorii. Pragurile sunt cele mai coborâte din întreaga ontogenie a pomului.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Abscisie petale; deshidratare stigmate (VPD amplificat de flux turbulent); An net −20%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Oprire practică polenizare entomofilă — RISC PIERDERE RECOLTĂ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Nota: perturbarea activității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Apis mellifera</w:t>
      </w:r>
      <w:r>
        <w:rPr>
          <w:rFonts w:ascii="Arial" w:cs="Arial" w:eastAsia="Arial" w:hAnsi="Arial"/>
          <w:sz w:val="22"/>
          <w:szCs w:val="22"/>
        </w:rPr>
        <w:t xml:space="preserve"> începe la viteze de 2.5–3.0 m/s (Free, 1993; Grace, 1977). Această informație este integrată în textul de impact dar nu generează alertă operațională separată.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4.4 BBCH 71–75 | Legarea Fructelor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Fructe &lt; 20 mm diametru sunt sensibile la stimulare mecanică → producție de etilenă endogenă → amplificarea căderii fiziologice de vară (June Drop). Abeles et al. (1992) specifică expunere ≥ 4–6h la &gt; 5 m/s pentru inducție etilenă detectabilă.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Stimulare mecanică fructe &lt;20mm; abscisie fiziologică accelerată semnificativ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Abscisie masivă fructe tinere; pierderi cantitative directe ireversibile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4.5 BBCH 75–79 | Creștere Intensă Fruct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Micro-leziuni epidermice; stomate închise; WUE compromisă (An net −60%)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Abscisie mecanică + rupere ramuri fructifere; pierderi cantitative directe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4.6 BBCH 81–89+ | Pre-Recoltare și Maturitate — Fenofaza cu Cel Mai Mare Impact Economic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Leziunile de frecare fruct–ramură nu sunt vizibile imediat, dar se manifestă după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48–72 ore</w:t>
      </w:r>
      <w:r>
        <w:rPr>
          <w:rFonts w:ascii="Arial" w:cs="Arial" w:eastAsia="Arial" w:hAnsi="Arial"/>
          <w:sz w:val="22"/>
          <w:szCs w:val="22"/>
        </w:rPr>
        <w:t xml:space="preserve"> prin oxidare enzimatică subepidermică. O singură zi cu vânt de 5–8 m/s poate deprecia calitativ 100% din producție.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Alertă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 Rafală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Frecare fruct–ramură → brunificare subcuticulară; DEPRECIERE CALITATIVĂ 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8.0 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Abscisie mecanică (etilenă); pierderi cantitative directe; la &gt;10 m/s pierderi &gt;30%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(Gardiner et al., 2016; Abeles et al., 1992)</w:t>
      </w: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Logica de Clasificare și Structura Raportului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5.1 Variabila de Decizie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Clasificarea se bazează exclusiv pe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rafala maximă absolută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V_max_absolut = max(max_windGust_24h, V_max_prognoză_48h)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Prognoza OWM furnizează viteza de vânt mediată pe 3h (windSpeed), nu rafala. Valoarea este tratată ca estimare conservatoare a rafalei așteptate.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5.2 Escaladare prin Proxy Sarcină Zăpadă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fenofaza Repaus Vegetativ, un mecanism suplimentar poate escalada statusul la MODERAT independent de viteza vântului, dacă sunt îndeplinite simultan: T_min_24h &lt; −5°C AND precipitații_72h &gt; 5 mm AND V_max &gt; prag_MODERAT. Precipitațiile la T &lt; −5°C constituie un proxy rezonabil pentru precipitații solide acumulate, în absența unui senzor dedicat de greutate zăpadă pe stația Davis Vantage Pro 2 Plus.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(Coutts &amp; Grace, 1995)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8"/>
          <w:sz w:val="24"/>
          <w:szCs w:val="24"/>
        </w:rPr>
        <w:t xml:space="preserve">5.3 Structura Output-ului Raport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 Raport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Sursa datei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Rafală max înregistrată (24h)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max(windGust) din archive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Rafala efectivă măsurată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Viteză medie vânt (24h)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avg(windSpeed) din archive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pe 24h — indicator stres fiziologic cronic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Prognoză Rafală Max (48h)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max(wind_speed) din OWM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Estimare conservatoare rafală așteptată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Rafală G: măsurat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max_windGust / avg_windSpeed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 doar dacă avg_windSpeed ≥ 0.3 m/s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Rafală G: prognoză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V_max_prognoză / avg_windSpeed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— folosește media măsurată ca bază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Evaluare Risc Mecanic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cfg_e[desc_moderat/desc_ridicat]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Descriere fenofazică specifică nivelului de alertă</w:t>
            </w:r>
          </w:p>
        </w:tc>
      </w:tr>
    </w:tbl>
    <w:p>
      <w:pPr>
        <w:spacing w:after="80" w:before="120"/>
      </w:pPr>
    </w:p>
    <w:p>
      <w:pPr>
        <w:pBdr>
          <w:bottom w:val="single" w:color="2E609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Referințe Bibliografice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Abeles, F. B., Morgan, P. W., &amp; Saltveit, M. E.</w:t>
      </w:r>
      <w:r>
        <w:rPr>
          <w:rFonts w:ascii="Arial" w:cs="Arial" w:eastAsia="Arial" w:hAnsi="Arial"/>
          <w:sz w:val="22"/>
          <w:szCs w:val="22"/>
        </w:rPr>
        <w:t xml:space="preserve"> (1992).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Ethylene in Plant Biology</w:t>
      </w:r>
      <w:r>
        <w:rPr>
          <w:rFonts w:ascii="Arial" w:cs="Arial" w:eastAsia="Arial" w:hAnsi="Arial"/>
          <w:sz w:val="22"/>
          <w:szCs w:val="22"/>
        </w:rPr>
        <w:t xml:space="preserve"> (2nd ed.). Academic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Allen, R. G., Pereira, L. S., Raes, D., &amp; Smith, M.</w:t>
      </w:r>
      <w:r>
        <w:rPr>
          <w:rFonts w:ascii="Arial" w:cs="Arial" w:eastAsia="Arial" w:hAnsi="Arial"/>
          <w:sz w:val="22"/>
          <w:szCs w:val="22"/>
        </w:rPr>
        <w:t xml:space="preserve"> (1998).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Crop evapotranspiration — FAO Irrigation and Drainage Paper 56</w:t>
      </w:r>
      <w:r>
        <w:rPr>
          <w:rFonts w:ascii="Arial" w:cs="Arial" w:eastAsia="Arial" w:hAnsi="Arial"/>
          <w:sz w:val="22"/>
          <w:szCs w:val="22"/>
        </w:rPr>
        <w:t xml:space="preserve">. FAO, Roma.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Brandle, J. R., Hodges, L., &amp; Zhou, X. H.</w:t>
      </w:r>
      <w:r>
        <w:rPr>
          <w:rFonts w:ascii="Arial" w:cs="Arial" w:eastAsia="Arial" w:hAnsi="Arial"/>
          <w:sz w:val="22"/>
          <w:szCs w:val="22"/>
        </w:rPr>
        <w:t xml:space="preserve"> (2004). Windbreaks in North American agricultural systems.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Agroforestry Systems</w:t>
      </w:r>
      <w:r>
        <w:rPr>
          <w:rFonts w:ascii="Arial" w:cs="Arial" w:eastAsia="Arial" w:hAnsi="Arial"/>
          <w:sz w:val="22"/>
          <w:szCs w:val="22"/>
        </w:rPr>
        <w:t xml:space="preserve">, 61, 65–78. https://doi.org/10.1023/B:AGFO.0000028990.31801.96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Coutts, M. P., &amp; Grace, J.</w:t>
      </w:r>
      <w:r>
        <w:rPr>
          <w:rFonts w:ascii="Arial" w:cs="Arial" w:eastAsia="Arial" w:hAnsi="Arial"/>
          <w:sz w:val="22"/>
          <w:szCs w:val="22"/>
        </w:rPr>
        <w:t xml:space="preserve"> (Eds.). (1995).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Wind and Trees</w:t>
      </w:r>
      <w:r>
        <w:rPr>
          <w:rFonts w:ascii="Arial" w:cs="Arial" w:eastAsia="Arial" w:hAnsi="Arial"/>
          <w:sz w:val="22"/>
          <w:szCs w:val="22"/>
        </w:rPr>
        <w:t xml:space="preserve">. Cambridge University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Finnigan, J. J.</w:t>
      </w:r>
      <w:r>
        <w:rPr>
          <w:rFonts w:ascii="Arial" w:cs="Arial" w:eastAsia="Arial" w:hAnsi="Arial"/>
          <w:sz w:val="22"/>
          <w:szCs w:val="22"/>
        </w:rPr>
        <w:t xml:space="preserve"> (2000). Turbulence in plant canopies.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Annual Review of Fluid Mechanics</w:t>
      </w:r>
      <w:r>
        <w:rPr>
          <w:rFonts w:ascii="Arial" w:cs="Arial" w:eastAsia="Arial" w:hAnsi="Arial"/>
          <w:sz w:val="22"/>
          <w:szCs w:val="22"/>
        </w:rPr>
        <w:t xml:space="preserve">, 32, 519–571. https://doi.org/10.1146/annurev.fluid.32.1.519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Free, J. B.</w:t>
      </w:r>
      <w:r>
        <w:rPr>
          <w:rFonts w:ascii="Arial" w:cs="Arial" w:eastAsia="Arial" w:hAnsi="Arial"/>
          <w:sz w:val="22"/>
          <w:szCs w:val="22"/>
        </w:rPr>
        <w:t xml:space="preserve"> (1993).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Insect Pollination of Crops</w:t>
      </w:r>
      <w:r>
        <w:rPr>
          <w:rFonts w:ascii="Arial" w:cs="Arial" w:eastAsia="Arial" w:hAnsi="Arial"/>
          <w:sz w:val="22"/>
          <w:szCs w:val="22"/>
        </w:rPr>
        <w:t xml:space="preserve"> (2nd ed.). Academic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Gardiner, B., Berry, P., &amp; Moulia, B.</w:t>
      </w:r>
      <w:r>
        <w:rPr>
          <w:rFonts w:ascii="Arial" w:cs="Arial" w:eastAsia="Arial" w:hAnsi="Arial"/>
          <w:sz w:val="22"/>
          <w:szCs w:val="22"/>
        </w:rPr>
        <w:t xml:space="preserve"> (2016). Review: Wind impacts on plant growth, mechanics and damage.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Plant Science</w:t>
      </w:r>
      <w:r>
        <w:rPr>
          <w:rFonts w:ascii="Arial" w:cs="Arial" w:eastAsia="Arial" w:hAnsi="Arial"/>
          <w:sz w:val="22"/>
          <w:szCs w:val="22"/>
        </w:rPr>
        <w:t xml:space="preserve">, 245, 94–118. https://doi.org/10.1016/j.plantsci.2016.01.006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Grace, J.</w:t>
      </w:r>
      <w:r>
        <w:rPr>
          <w:rFonts w:ascii="Arial" w:cs="Arial" w:eastAsia="Arial" w:hAnsi="Arial"/>
          <w:sz w:val="22"/>
          <w:szCs w:val="22"/>
        </w:rPr>
        <w:t xml:space="preserve"> (1977).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Plant Response to Wind</w:t>
      </w:r>
      <w:r>
        <w:rPr>
          <w:rFonts w:ascii="Arial" w:cs="Arial" w:eastAsia="Arial" w:hAnsi="Arial"/>
          <w:sz w:val="22"/>
          <w:szCs w:val="22"/>
        </w:rPr>
        <w:t xml:space="preserve">. Academic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Li, L., Shen, H., Yi, S., &amp; Liu, H.</w:t>
      </w:r>
      <w:r>
        <w:rPr>
          <w:rFonts w:ascii="Arial" w:cs="Arial" w:eastAsia="Arial" w:hAnsi="Arial"/>
          <w:sz w:val="22"/>
          <w:szCs w:val="22"/>
        </w:rPr>
        <w:t xml:space="preserve"> (2014). Modeling apple surface temperature dynamics based on weather data.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Sensors</w:t>
      </w:r>
      <w:r>
        <w:rPr>
          <w:rFonts w:ascii="Arial" w:cs="Arial" w:eastAsia="Arial" w:hAnsi="Arial"/>
          <w:sz w:val="22"/>
          <w:szCs w:val="22"/>
        </w:rPr>
        <w:t xml:space="preserve">, 14(11), 20217–20234. https://doi.org/10.3390/s141120217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Meier, U.</w:t>
      </w:r>
      <w:r>
        <w:rPr>
          <w:rFonts w:ascii="Arial" w:cs="Arial" w:eastAsia="Arial" w:hAnsi="Arial"/>
          <w:sz w:val="22"/>
          <w:szCs w:val="22"/>
        </w:rPr>
        <w:t xml:space="preserve"> (Ed.). (2001).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Growth Stages of Mono- and Dicotyledonous Plants: BBCH Monograph</w:t>
      </w:r>
      <w:r>
        <w:rPr>
          <w:rFonts w:ascii="Arial" w:cs="Arial" w:eastAsia="Arial" w:hAnsi="Arial"/>
          <w:sz w:val="22"/>
          <w:szCs w:val="22"/>
        </w:rPr>
        <w:t xml:space="preserve"> (2nd ed.). Federal Biological Research Centre for Agriculture and Forestry.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Moore, J. R., &amp; Maguire, D. A.</w:t>
      </w:r>
      <w:r>
        <w:rPr>
          <w:rFonts w:ascii="Arial" w:cs="Arial" w:eastAsia="Arial" w:hAnsi="Arial"/>
          <w:sz w:val="22"/>
          <w:szCs w:val="22"/>
        </w:rPr>
        <w:t xml:space="preserve"> (2005). Natural sway frequencies and damping ratios of trees.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Trees</w:t>
      </w:r>
      <w:r>
        <w:rPr>
          <w:rFonts w:ascii="Arial" w:cs="Arial" w:eastAsia="Arial" w:hAnsi="Arial"/>
          <w:sz w:val="22"/>
          <w:szCs w:val="22"/>
        </w:rPr>
        <w:t xml:space="preserve">, 19(4), 387–394. https://doi.org/10.1007/s00468-004-0387-y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Niklas, K. J.</w:t>
      </w:r>
      <w:r>
        <w:rPr>
          <w:rFonts w:ascii="Arial" w:cs="Arial" w:eastAsia="Arial" w:hAnsi="Arial"/>
          <w:sz w:val="22"/>
          <w:szCs w:val="22"/>
        </w:rPr>
        <w:t xml:space="preserve"> (1992).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Plant Biomechanics: An Engineering Approach to Plant Form and Function</w:t>
      </w:r>
      <w:r>
        <w:rPr>
          <w:rFonts w:ascii="Arial" w:cs="Arial" w:eastAsia="Arial" w:hAnsi="Arial"/>
          <w:sz w:val="22"/>
          <w:szCs w:val="22"/>
        </w:rPr>
        <w:t xml:space="preserve">. University of Chicago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Peltola, H.</w:t>
      </w:r>
      <w:r>
        <w:rPr>
          <w:rFonts w:ascii="Arial" w:cs="Arial" w:eastAsia="Arial" w:hAnsi="Arial"/>
          <w:sz w:val="22"/>
          <w:szCs w:val="22"/>
        </w:rPr>
        <w:t xml:space="preserve"> (2006). Mechanical stability of trees under static loads.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American Journal of Botany</w:t>
      </w:r>
      <w:r>
        <w:rPr>
          <w:rFonts w:ascii="Arial" w:cs="Arial" w:eastAsia="Arial" w:hAnsi="Arial"/>
          <w:sz w:val="22"/>
          <w:szCs w:val="22"/>
        </w:rPr>
        <w:t xml:space="preserve">, 93(10), 1501–1511. https://doi.org/10.3732/ajb.93.10.1501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Schuepp, P. H.</w:t>
      </w:r>
      <w:r>
        <w:rPr>
          <w:rFonts w:ascii="Arial" w:cs="Arial" w:eastAsia="Arial" w:hAnsi="Arial"/>
          <w:sz w:val="22"/>
          <w:szCs w:val="22"/>
        </w:rPr>
        <w:t xml:space="preserve"> (1993). Leaf boundary layers.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 Phytologist</w:t>
      </w:r>
      <w:r>
        <w:rPr>
          <w:rFonts w:ascii="Arial" w:cs="Arial" w:eastAsia="Arial" w:hAnsi="Arial"/>
          <w:sz w:val="22"/>
          <w:szCs w:val="22"/>
        </w:rPr>
        <w:t xml:space="preserve">, 125(3), 477–507. https://doi.org/10.1111/j.1469-8137.1993.tb03898.x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Stull, R. B.</w:t>
      </w:r>
      <w:r>
        <w:rPr>
          <w:rFonts w:ascii="Arial" w:cs="Arial" w:eastAsia="Arial" w:hAnsi="Arial"/>
          <w:sz w:val="22"/>
          <w:szCs w:val="22"/>
        </w:rPr>
        <w:t xml:space="preserve"> (1988).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Introduction to Boundary Layer Meteorology</w:t>
      </w:r>
      <w:r>
        <w:rPr>
          <w:rFonts w:ascii="Arial" w:cs="Arial" w:eastAsia="Arial" w:hAnsi="Arial"/>
          <w:sz w:val="22"/>
          <w:szCs w:val="22"/>
        </w:rPr>
        <w:t xml:space="preserve">. Kluwer Academic Publishers.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2026-05-17T07:04:56.454Z</dcterms:created>
  <dcterms:modified xsi:type="dcterms:W3CDTF">2026-05-17T07:04:56.454Z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