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#1. </w:t>
      </w:r>
      <w:r w:rsidDel="00000000" w:rsidR="00000000" w:rsidRPr="00000000">
        <w:rPr>
          <w:sz w:val="28"/>
          <w:szCs w:val="28"/>
          <w:rtl w:val="0"/>
        </w:rPr>
        <w:t xml:space="preserve">Background of Integration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#2. Need for CI/CD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#3. Jenkins - installation &amp; setup, installing default plugins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Plugin Management, Global Tool Configuration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#4. Create a sample FreeStyleProject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(a) build locally - [FreeStyleLocal]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(b) load from git repo, build with mvn - [FirstGitMavenProject]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#5. Pipeline - 2 ways UI(FreeStyle) &amp; Jenkinsfile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#6. Pipeline - UI, Git &amp; Maven - [FreeStyleGitMaven]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pull periodically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Chaining multiple jobs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#7. How to restart Jenkins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#8. Pipeline with Jenkinsfile - advantages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#9. Official Jenkinsfile reference - https://jenkins.io/doc/book/pipeline/jenkinsfile/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#10. How Jenkinsfile captures the build steps -  [EndToEndScript1]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and maven steps in Jenkinsfile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#11. Jenkinsfile pipeline syntax generation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 Jenkinsfile - [SpringBootRest]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#12. Loading Jenkinsfile(&amp; Project) from Git SCM - [GitJenkinsfile]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#13. How to mix FreeStyle and Pipeline Jobs and achieve Poll SCM - [FSPJob1, FSPPipelineJob2]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How to use LOcal Tools from Jenkinsfile - use pipeline syntax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(variable declaration and usage)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#14. How to change default port 8080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#15. post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 testing reports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EclEmma Code coverage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#16. Interaction with Docker [First_Script_Pipeline]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