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80243" w14:textId="57F961FE" w:rsidR="006972FF" w:rsidRPr="00CF508F" w:rsidRDefault="006972FF" w:rsidP="003C5B61">
      <w:pPr>
        <w:shd w:val="clear" w:color="auto" w:fill="FFFFFF"/>
        <w:spacing w:after="0" w:line="240" w:lineRule="auto"/>
        <w:textAlignment w:val="baseline"/>
        <w:rPr>
          <w:rFonts w:asciiTheme="majorHAnsi" w:eastAsia="Times New Roman" w:hAnsiTheme="majorHAnsi" w:cs="Arial"/>
          <w:b/>
          <w:bCs/>
          <w:color w:val="202124"/>
          <w:kern w:val="0"/>
          <w:sz w:val="30"/>
          <w:szCs w:val="30"/>
          <w:lang w:eastAsia="en-IN"/>
          <w14:ligatures w14:val="none"/>
        </w:rPr>
      </w:pPr>
      <w:r w:rsidRPr="00CF508F">
        <w:rPr>
          <w:rFonts w:asciiTheme="majorHAnsi" w:eastAsia="Times New Roman" w:hAnsiTheme="majorHAnsi" w:cs="Arial"/>
          <w:b/>
          <w:bCs/>
          <w:color w:val="202124"/>
          <w:kern w:val="0"/>
          <w:sz w:val="30"/>
          <w:szCs w:val="30"/>
          <w:lang w:eastAsia="en-IN"/>
          <w14:ligatures w14:val="none"/>
        </w:rPr>
        <w:t xml:space="preserve">Title: </w:t>
      </w:r>
      <w:r w:rsidRPr="00CF508F">
        <w:rPr>
          <w:rFonts w:asciiTheme="majorHAnsi" w:eastAsia="Times New Roman" w:hAnsiTheme="majorHAnsi" w:cs="Arial"/>
          <w:i/>
          <w:iCs/>
          <w:color w:val="202124"/>
          <w:kern w:val="0"/>
          <w:sz w:val="30"/>
          <w:szCs w:val="30"/>
          <w:lang w:eastAsia="en-IN"/>
          <w14:ligatures w14:val="none"/>
        </w:rPr>
        <w:t>Insurance</w:t>
      </w:r>
      <w:r w:rsidR="004C07FE" w:rsidRPr="00CF508F">
        <w:rPr>
          <w:rFonts w:asciiTheme="majorHAnsi" w:eastAsia="Times New Roman" w:hAnsiTheme="majorHAnsi" w:cs="Arial"/>
          <w:i/>
          <w:iCs/>
          <w:color w:val="202124"/>
          <w:kern w:val="0"/>
          <w:sz w:val="30"/>
          <w:szCs w:val="30"/>
          <w:lang w:eastAsia="en-IN"/>
          <w14:ligatures w14:val="none"/>
        </w:rPr>
        <w:t xml:space="preserve"> Premium</w:t>
      </w:r>
      <w:r w:rsidRPr="00CF508F">
        <w:rPr>
          <w:rFonts w:asciiTheme="majorHAnsi" w:eastAsia="Times New Roman" w:hAnsiTheme="majorHAnsi" w:cs="Arial"/>
          <w:i/>
          <w:iCs/>
          <w:color w:val="202124"/>
          <w:kern w:val="0"/>
          <w:sz w:val="30"/>
          <w:szCs w:val="30"/>
          <w:lang w:eastAsia="en-IN"/>
          <w14:ligatures w14:val="none"/>
        </w:rPr>
        <w:t xml:space="preserve"> Data</w:t>
      </w:r>
    </w:p>
    <w:p w14:paraId="363B4963" w14:textId="2EC04C3B" w:rsidR="006972FF" w:rsidRPr="00CF508F" w:rsidRDefault="006972FF" w:rsidP="003C5B61">
      <w:pPr>
        <w:shd w:val="clear" w:color="auto" w:fill="FFFFFF"/>
        <w:spacing w:after="0" w:line="240" w:lineRule="auto"/>
        <w:textAlignment w:val="baseline"/>
        <w:rPr>
          <w:rFonts w:asciiTheme="majorHAnsi" w:eastAsia="Times New Roman" w:hAnsiTheme="majorHAnsi" w:cs="Arial"/>
          <w:b/>
          <w:bCs/>
          <w:color w:val="202124"/>
          <w:kern w:val="0"/>
          <w:sz w:val="30"/>
          <w:szCs w:val="30"/>
          <w:lang w:eastAsia="en-IN"/>
          <w14:ligatures w14:val="none"/>
        </w:rPr>
      </w:pPr>
      <w:r w:rsidRPr="00CF508F">
        <w:rPr>
          <w:rFonts w:asciiTheme="majorHAnsi" w:eastAsia="Times New Roman" w:hAnsiTheme="majorHAnsi" w:cs="Arial"/>
          <w:b/>
          <w:bCs/>
          <w:color w:val="202124"/>
          <w:kern w:val="0"/>
          <w:sz w:val="30"/>
          <w:szCs w:val="30"/>
          <w:lang w:eastAsia="en-IN"/>
          <w14:ligatures w14:val="none"/>
        </w:rPr>
        <w:t xml:space="preserve">Name: </w:t>
      </w:r>
      <w:r w:rsidRPr="00CF508F">
        <w:rPr>
          <w:rFonts w:asciiTheme="majorHAnsi" w:eastAsia="Times New Roman" w:hAnsiTheme="majorHAnsi" w:cs="Arial"/>
          <w:i/>
          <w:iCs/>
          <w:color w:val="202124"/>
          <w:kern w:val="0"/>
          <w:sz w:val="30"/>
          <w:szCs w:val="30"/>
          <w:lang w:eastAsia="en-IN"/>
          <w14:ligatures w14:val="none"/>
        </w:rPr>
        <w:t>Saiba Sifat</w:t>
      </w:r>
    </w:p>
    <w:p w14:paraId="5EF2AB09" w14:textId="791A960B" w:rsidR="006972FF" w:rsidRPr="00CF508F" w:rsidRDefault="006972FF" w:rsidP="003C5B61">
      <w:pPr>
        <w:shd w:val="clear" w:color="auto" w:fill="FFFFFF"/>
        <w:spacing w:after="0" w:line="240" w:lineRule="auto"/>
        <w:textAlignment w:val="baseline"/>
        <w:rPr>
          <w:rFonts w:asciiTheme="majorHAnsi" w:eastAsia="Times New Roman" w:hAnsiTheme="majorHAnsi" w:cs="Arial"/>
          <w:b/>
          <w:bCs/>
          <w:color w:val="202124"/>
          <w:kern w:val="0"/>
          <w:sz w:val="30"/>
          <w:szCs w:val="30"/>
          <w:lang w:eastAsia="en-IN"/>
          <w14:ligatures w14:val="none"/>
        </w:rPr>
      </w:pPr>
      <w:r w:rsidRPr="00CF508F">
        <w:rPr>
          <w:rFonts w:asciiTheme="majorHAnsi" w:eastAsia="Times New Roman" w:hAnsiTheme="majorHAnsi" w:cs="Arial"/>
          <w:b/>
          <w:bCs/>
          <w:color w:val="202124"/>
          <w:kern w:val="0"/>
          <w:sz w:val="30"/>
          <w:szCs w:val="30"/>
          <w:lang w:eastAsia="en-IN"/>
          <w14:ligatures w14:val="none"/>
        </w:rPr>
        <w:t xml:space="preserve">Date: </w:t>
      </w:r>
      <w:r w:rsidRPr="00CF508F">
        <w:rPr>
          <w:rFonts w:asciiTheme="majorHAnsi" w:eastAsia="Times New Roman" w:hAnsiTheme="majorHAnsi" w:cs="Arial"/>
          <w:i/>
          <w:iCs/>
          <w:color w:val="202124"/>
          <w:kern w:val="0"/>
          <w:sz w:val="30"/>
          <w:szCs w:val="30"/>
          <w:lang w:eastAsia="en-IN"/>
          <w14:ligatures w14:val="none"/>
        </w:rPr>
        <w:t>2</w:t>
      </w:r>
      <w:r w:rsidRPr="00CF508F">
        <w:rPr>
          <w:rFonts w:asciiTheme="majorHAnsi" w:eastAsia="Times New Roman" w:hAnsiTheme="majorHAnsi" w:cs="Arial"/>
          <w:i/>
          <w:iCs/>
          <w:color w:val="202124"/>
          <w:kern w:val="0"/>
          <w:sz w:val="30"/>
          <w:szCs w:val="30"/>
          <w:vertAlign w:val="superscript"/>
          <w:lang w:eastAsia="en-IN"/>
          <w14:ligatures w14:val="none"/>
        </w:rPr>
        <w:t>nd</w:t>
      </w:r>
      <w:r w:rsidRPr="00CF508F">
        <w:rPr>
          <w:rFonts w:asciiTheme="majorHAnsi" w:eastAsia="Times New Roman" w:hAnsiTheme="majorHAnsi" w:cs="Arial"/>
          <w:i/>
          <w:iCs/>
          <w:color w:val="202124"/>
          <w:kern w:val="0"/>
          <w:sz w:val="30"/>
          <w:szCs w:val="30"/>
          <w:lang w:eastAsia="en-IN"/>
          <w14:ligatures w14:val="none"/>
        </w:rPr>
        <w:t xml:space="preserve"> </w:t>
      </w:r>
      <w:r w:rsidR="00CF508F">
        <w:rPr>
          <w:rFonts w:asciiTheme="majorHAnsi" w:eastAsia="Times New Roman" w:hAnsiTheme="majorHAnsi" w:cs="Arial"/>
          <w:i/>
          <w:iCs/>
          <w:color w:val="202124"/>
          <w:kern w:val="0"/>
          <w:sz w:val="30"/>
          <w:szCs w:val="30"/>
          <w:lang w:eastAsia="en-IN"/>
          <w14:ligatures w14:val="none"/>
        </w:rPr>
        <w:t>December</w:t>
      </w:r>
      <w:r w:rsidRPr="00CF508F">
        <w:rPr>
          <w:rFonts w:asciiTheme="majorHAnsi" w:eastAsia="Times New Roman" w:hAnsiTheme="majorHAnsi" w:cs="Arial"/>
          <w:i/>
          <w:iCs/>
          <w:color w:val="202124"/>
          <w:kern w:val="0"/>
          <w:sz w:val="30"/>
          <w:szCs w:val="30"/>
          <w:lang w:eastAsia="en-IN"/>
          <w14:ligatures w14:val="none"/>
        </w:rPr>
        <w:t>, 202</w:t>
      </w:r>
      <w:r w:rsidR="00CF508F">
        <w:rPr>
          <w:rFonts w:asciiTheme="majorHAnsi" w:eastAsia="Times New Roman" w:hAnsiTheme="majorHAnsi" w:cs="Arial"/>
          <w:i/>
          <w:iCs/>
          <w:color w:val="202124"/>
          <w:kern w:val="0"/>
          <w:sz w:val="30"/>
          <w:szCs w:val="30"/>
          <w:lang w:eastAsia="en-IN"/>
          <w14:ligatures w14:val="none"/>
        </w:rPr>
        <w:t>5</w:t>
      </w:r>
    </w:p>
    <w:p w14:paraId="2B91DF8A" w14:textId="4F6F14D1" w:rsidR="006972FF" w:rsidRPr="00CF508F" w:rsidRDefault="006972FF" w:rsidP="003C5B61">
      <w:pPr>
        <w:shd w:val="clear" w:color="auto" w:fill="FFFFFF"/>
        <w:spacing w:after="0" w:line="240" w:lineRule="auto"/>
        <w:textAlignment w:val="baseline"/>
        <w:rPr>
          <w:rFonts w:asciiTheme="majorHAnsi" w:eastAsia="Times New Roman" w:hAnsiTheme="majorHAnsi" w:cs="Arial"/>
          <w:b/>
          <w:bCs/>
          <w:color w:val="202124"/>
          <w:kern w:val="0"/>
          <w:sz w:val="30"/>
          <w:szCs w:val="30"/>
          <w:lang w:eastAsia="en-IN"/>
          <w14:ligatures w14:val="none"/>
        </w:rPr>
      </w:pPr>
      <w:r w:rsidRPr="00CF508F">
        <w:rPr>
          <w:rFonts w:asciiTheme="majorHAnsi" w:eastAsia="Times New Roman" w:hAnsiTheme="majorHAnsi" w:cs="Arial"/>
          <w:b/>
          <w:bCs/>
          <w:color w:val="202124"/>
          <w:kern w:val="0"/>
          <w:sz w:val="30"/>
          <w:szCs w:val="30"/>
          <w:lang w:eastAsia="en-IN"/>
          <w14:ligatures w14:val="none"/>
        </w:rPr>
        <w:t xml:space="preserve">Tool Used: </w:t>
      </w:r>
      <w:r w:rsidRPr="00CF508F">
        <w:rPr>
          <w:rFonts w:asciiTheme="majorHAnsi" w:eastAsia="Times New Roman" w:hAnsiTheme="majorHAnsi" w:cs="Arial"/>
          <w:i/>
          <w:iCs/>
          <w:color w:val="202124"/>
          <w:kern w:val="0"/>
          <w:sz w:val="30"/>
          <w:szCs w:val="30"/>
          <w:lang w:eastAsia="en-IN"/>
          <w14:ligatures w14:val="none"/>
        </w:rPr>
        <w:t>SQL and Tableau</w:t>
      </w:r>
    </w:p>
    <w:p w14:paraId="2982D9CE" w14:textId="40857040" w:rsidR="006972FF" w:rsidRPr="00CF508F" w:rsidRDefault="006972FF" w:rsidP="003C5B61">
      <w:pPr>
        <w:shd w:val="clear" w:color="auto" w:fill="FFFFFF"/>
        <w:spacing w:after="0" w:line="240" w:lineRule="auto"/>
        <w:textAlignment w:val="baseline"/>
        <w:rPr>
          <w:rFonts w:asciiTheme="majorHAnsi" w:eastAsia="Times New Roman" w:hAnsiTheme="majorHAnsi" w:cs="Arial"/>
          <w:b/>
          <w:bCs/>
          <w:color w:val="202124"/>
          <w:kern w:val="0"/>
          <w:sz w:val="30"/>
          <w:szCs w:val="30"/>
          <w:lang w:eastAsia="en-IN"/>
          <w14:ligatures w14:val="none"/>
        </w:rPr>
      </w:pPr>
      <w:r w:rsidRPr="00CF508F">
        <w:rPr>
          <w:rFonts w:asciiTheme="majorHAnsi" w:eastAsia="Times New Roman" w:hAnsiTheme="majorHAnsi" w:cs="Arial"/>
          <w:b/>
          <w:bCs/>
          <w:color w:val="202124"/>
          <w:kern w:val="0"/>
          <w:sz w:val="30"/>
          <w:szCs w:val="30"/>
          <w:lang w:eastAsia="en-IN"/>
          <w14:ligatures w14:val="none"/>
        </w:rPr>
        <w:t xml:space="preserve">Dataset: </w:t>
      </w:r>
      <w:r w:rsidRPr="00CF508F">
        <w:rPr>
          <w:rFonts w:asciiTheme="majorHAnsi" w:eastAsia="Times New Roman" w:hAnsiTheme="majorHAnsi" w:cs="Arial"/>
          <w:i/>
          <w:iCs/>
          <w:color w:val="202124"/>
          <w:kern w:val="36"/>
          <w:sz w:val="30"/>
          <w:szCs w:val="30"/>
          <w:lang w:eastAsia="en-IN"/>
          <w14:ligatures w14:val="none"/>
        </w:rPr>
        <w:t>Insurance</w:t>
      </w:r>
      <w:r w:rsidR="004C07FE" w:rsidRPr="00CF508F">
        <w:rPr>
          <w:rFonts w:asciiTheme="majorHAnsi" w:eastAsia="Times New Roman" w:hAnsiTheme="majorHAnsi" w:cs="Arial"/>
          <w:i/>
          <w:iCs/>
          <w:color w:val="202124"/>
          <w:kern w:val="36"/>
          <w:sz w:val="30"/>
          <w:szCs w:val="30"/>
          <w:lang w:eastAsia="en-IN"/>
          <w14:ligatures w14:val="none"/>
        </w:rPr>
        <w:t xml:space="preserve"> Premium</w:t>
      </w:r>
      <w:r w:rsidRPr="00CF508F">
        <w:rPr>
          <w:rFonts w:asciiTheme="majorHAnsi" w:eastAsia="Times New Roman" w:hAnsiTheme="majorHAnsi" w:cs="Arial"/>
          <w:i/>
          <w:iCs/>
          <w:color w:val="202124"/>
          <w:kern w:val="36"/>
          <w:sz w:val="30"/>
          <w:szCs w:val="30"/>
          <w:lang w:eastAsia="en-IN"/>
          <w14:ligatures w14:val="none"/>
        </w:rPr>
        <w:t xml:space="preserve"> Dataset (Kaggle)</w:t>
      </w:r>
    </w:p>
    <w:p w14:paraId="7C9C09EC" w14:textId="77777777" w:rsidR="006972FF" w:rsidRDefault="006972FF" w:rsidP="006972FF">
      <w:pPr>
        <w:shd w:val="clear" w:color="auto" w:fill="FFFFFF"/>
        <w:spacing w:after="240" w:line="330" w:lineRule="atLeast"/>
        <w:textAlignment w:val="baseline"/>
        <w:rPr>
          <w:rFonts w:eastAsia="Times New Roman" w:cs="Arial"/>
          <w:b/>
          <w:bCs/>
          <w:color w:val="202124"/>
          <w:kern w:val="0"/>
          <w:sz w:val="27"/>
          <w:szCs w:val="27"/>
          <w:lang w:eastAsia="en-IN"/>
          <w14:ligatures w14:val="none"/>
        </w:rPr>
      </w:pPr>
    </w:p>
    <w:p w14:paraId="3D6C7F3E" w14:textId="723BD660" w:rsidR="006972FF" w:rsidRPr="005E5FCC" w:rsidRDefault="006972FF" w:rsidP="003F65CF">
      <w:pPr>
        <w:shd w:val="clear" w:color="auto" w:fill="FFFFFF"/>
        <w:spacing w:after="0" w:line="330" w:lineRule="atLeast"/>
        <w:textAlignment w:val="baseline"/>
        <w:rPr>
          <w:rFonts w:eastAsia="Times New Roman" w:cs="Arial"/>
          <w:b/>
          <w:bCs/>
          <w:color w:val="202124"/>
          <w:kern w:val="0"/>
          <w:sz w:val="27"/>
          <w:szCs w:val="27"/>
          <w:u w:val="single"/>
          <w:lang w:eastAsia="en-IN"/>
          <w14:ligatures w14:val="none"/>
        </w:rPr>
      </w:pPr>
      <w:r w:rsidRPr="005E5FCC">
        <w:rPr>
          <w:rFonts w:eastAsia="Times New Roman" w:cs="Arial"/>
          <w:b/>
          <w:bCs/>
          <w:color w:val="202124"/>
          <w:kern w:val="0"/>
          <w:sz w:val="27"/>
          <w:szCs w:val="27"/>
          <w:u w:val="single"/>
          <w:lang w:eastAsia="en-IN"/>
          <w14:ligatures w14:val="none"/>
        </w:rPr>
        <w:t>Dataset Description</w:t>
      </w:r>
    </w:p>
    <w:p w14:paraId="7CD436D8" w14:textId="77777777" w:rsidR="0022004D" w:rsidRPr="00483D69" w:rsidRDefault="0022004D" w:rsidP="005E5FCC">
      <w:pPr>
        <w:shd w:val="clear" w:color="auto" w:fill="FFFFFF"/>
        <w:spacing w:after="0" w:line="330" w:lineRule="atLeast"/>
        <w:textAlignment w:val="baseline"/>
        <w:rPr>
          <w:rFonts w:eastAsia="Times New Roman" w:cs="Arial"/>
          <w:color w:val="202124"/>
          <w:kern w:val="0"/>
          <w:sz w:val="20"/>
          <w:szCs w:val="20"/>
          <w:lang w:eastAsia="en-IN"/>
          <w14:ligatures w14:val="none"/>
        </w:rPr>
      </w:pPr>
      <w:r w:rsidRPr="00483D69">
        <w:rPr>
          <w:rFonts w:eastAsia="Times New Roman" w:cs="Arial"/>
          <w:color w:val="202124"/>
          <w:kern w:val="0"/>
          <w:sz w:val="20"/>
          <w:szCs w:val="20"/>
          <w:lang w:eastAsia="en-IN"/>
          <w14:ligatures w14:val="none"/>
        </w:rPr>
        <w:t xml:space="preserve">This is a basic health insurance dataset where </w:t>
      </w:r>
      <w:r w:rsidRPr="00483D69">
        <w:rPr>
          <w:rFonts w:eastAsia="Times New Roman" w:cs="Arial"/>
          <w:b/>
          <w:bCs/>
          <w:color w:val="202124"/>
          <w:kern w:val="0"/>
          <w:sz w:val="20"/>
          <w:szCs w:val="20"/>
          <w:lang w:eastAsia="en-IN"/>
          <w14:ligatures w14:val="none"/>
        </w:rPr>
        <w:t>each row represents one policyholder</w:t>
      </w:r>
      <w:r w:rsidRPr="00483D69">
        <w:rPr>
          <w:rFonts w:eastAsia="Times New Roman" w:cs="Arial"/>
          <w:color w:val="202124"/>
          <w:kern w:val="0"/>
          <w:sz w:val="20"/>
          <w:szCs w:val="20"/>
          <w:lang w:eastAsia="en-IN"/>
          <w14:ligatures w14:val="none"/>
        </w:rPr>
        <w:t>. The data captures demographic, lifestyle, and regional attributes that influence insurance premium charges.</w:t>
      </w:r>
    </w:p>
    <w:p w14:paraId="7448F3FA" w14:textId="77777777" w:rsidR="0022004D" w:rsidRPr="0022004D" w:rsidRDefault="0022004D" w:rsidP="005E5FCC">
      <w:pPr>
        <w:shd w:val="clear" w:color="auto" w:fill="FFFFFF"/>
        <w:spacing w:after="0" w:line="330" w:lineRule="atLeast"/>
        <w:textAlignment w:val="baseline"/>
        <w:rPr>
          <w:rFonts w:eastAsia="Times New Roman" w:cs="Arial"/>
          <w:color w:val="202124"/>
          <w:kern w:val="0"/>
          <w:sz w:val="21"/>
          <w:szCs w:val="21"/>
          <w:lang w:eastAsia="en-IN"/>
          <w14:ligatures w14:val="none"/>
        </w:rPr>
      </w:pPr>
      <w:r w:rsidRPr="0022004D">
        <w:rPr>
          <w:rFonts w:eastAsia="Times New Roman" w:cs="Arial"/>
          <w:b/>
          <w:bCs/>
          <w:color w:val="202124"/>
          <w:kern w:val="0"/>
          <w:sz w:val="21"/>
          <w:szCs w:val="21"/>
          <w:lang w:eastAsia="en-IN"/>
          <w14:ligatures w14:val="none"/>
        </w:rPr>
        <w:t>Columns included:</w:t>
      </w:r>
    </w:p>
    <w:p w14:paraId="2DC4B33C" w14:textId="77777777" w:rsidR="0022004D" w:rsidRPr="00483D69" w:rsidRDefault="0022004D" w:rsidP="0022004D">
      <w:pPr>
        <w:numPr>
          <w:ilvl w:val="0"/>
          <w:numId w:val="14"/>
        </w:numPr>
        <w:shd w:val="clear" w:color="auto" w:fill="FFFFFF"/>
        <w:spacing w:after="0" w:line="330" w:lineRule="atLeast"/>
        <w:textAlignment w:val="baseline"/>
        <w:rPr>
          <w:rFonts w:eastAsia="Times New Roman" w:cs="Arial"/>
          <w:color w:val="202124"/>
          <w:kern w:val="0"/>
          <w:sz w:val="20"/>
          <w:szCs w:val="20"/>
          <w:lang w:eastAsia="en-IN"/>
          <w14:ligatures w14:val="none"/>
        </w:rPr>
      </w:pPr>
      <w:r w:rsidRPr="00483D69">
        <w:rPr>
          <w:rFonts w:eastAsia="Times New Roman" w:cs="Arial"/>
          <w:b/>
          <w:bCs/>
          <w:color w:val="202124"/>
          <w:kern w:val="0"/>
          <w:sz w:val="20"/>
          <w:szCs w:val="20"/>
          <w:lang w:eastAsia="en-IN"/>
          <w14:ligatures w14:val="none"/>
        </w:rPr>
        <w:t>Age</w:t>
      </w:r>
      <w:r w:rsidRPr="00483D69">
        <w:rPr>
          <w:rFonts w:eastAsia="Times New Roman" w:cs="Arial"/>
          <w:color w:val="202124"/>
          <w:kern w:val="0"/>
          <w:sz w:val="20"/>
          <w:szCs w:val="20"/>
          <w:lang w:eastAsia="en-IN"/>
          <w14:ligatures w14:val="none"/>
        </w:rPr>
        <w:t xml:space="preserve"> – Age of the policyholder</w:t>
      </w:r>
    </w:p>
    <w:p w14:paraId="6E1CD08C" w14:textId="77777777" w:rsidR="0022004D" w:rsidRPr="00483D69" w:rsidRDefault="0022004D" w:rsidP="0022004D">
      <w:pPr>
        <w:numPr>
          <w:ilvl w:val="0"/>
          <w:numId w:val="14"/>
        </w:numPr>
        <w:shd w:val="clear" w:color="auto" w:fill="FFFFFF"/>
        <w:spacing w:after="0" w:line="330" w:lineRule="atLeast"/>
        <w:textAlignment w:val="baseline"/>
        <w:rPr>
          <w:rFonts w:eastAsia="Times New Roman" w:cs="Arial"/>
          <w:color w:val="202124"/>
          <w:kern w:val="0"/>
          <w:sz w:val="20"/>
          <w:szCs w:val="20"/>
          <w:lang w:eastAsia="en-IN"/>
          <w14:ligatures w14:val="none"/>
        </w:rPr>
      </w:pPr>
      <w:r w:rsidRPr="00483D69">
        <w:rPr>
          <w:rFonts w:eastAsia="Times New Roman" w:cs="Arial"/>
          <w:b/>
          <w:bCs/>
          <w:color w:val="202124"/>
          <w:kern w:val="0"/>
          <w:sz w:val="20"/>
          <w:szCs w:val="20"/>
          <w:lang w:eastAsia="en-IN"/>
          <w14:ligatures w14:val="none"/>
        </w:rPr>
        <w:t>Gender</w:t>
      </w:r>
      <w:r w:rsidRPr="00483D69">
        <w:rPr>
          <w:rFonts w:eastAsia="Times New Roman" w:cs="Arial"/>
          <w:color w:val="202124"/>
          <w:kern w:val="0"/>
          <w:sz w:val="20"/>
          <w:szCs w:val="20"/>
          <w:lang w:eastAsia="en-IN"/>
          <w14:ligatures w14:val="none"/>
        </w:rPr>
        <w:t xml:space="preserve"> – Gender of the policyholder</w:t>
      </w:r>
    </w:p>
    <w:p w14:paraId="62797D33" w14:textId="77777777" w:rsidR="0022004D" w:rsidRPr="00483D69" w:rsidRDefault="0022004D" w:rsidP="0022004D">
      <w:pPr>
        <w:numPr>
          <w:ilvl w:val="0"/>
          <w:numId w:val="14"/>
        </w:numPr>
        <w:shd w:val="clear" w:color="auto" w:fill="FFFFFF"/>
        <w:spacing w:after="0" w:line="330" w:lineRule="atLeast"/>
        <w:textAlignment w:val="baseline"/>
        <w:rPr>
          <w:rFonts w:eastAsia="Times New Roman" w:cs="Arial"/>
          <w:color w:val="202124"/>
          <w:kern w:val="0"/>
          <w:sz w:val="20"/>
          <w:szCs w:val="20"/>
          <w:lang w:eastAsia="en-IN"/>
          <w14:ligatures w14:val="none"/>
        </w:rPr>
      </w:pPr>
      <w:r w:rsidRPr="00483D69">
        <w:rPr>
          <w:rFonts w:eastAsia="Times New Roman" w:cs="Arial"/>
          <w:b/>
          <w:bCs/>
          <w:color w:val="202124"/>
          <w:kern w:val="0"/>
          <w:sz w:val="20"/>
          <w:szCs w:val="20"/>
          <w:lang w:eastAsia="en-IN"/>
          <w14:ligatures w14:val="none"/>
        </w:rPr>
        <w:t>BMI</w:t>
      </w:r>
      <w:r w:rsidRPr="00483D69">
        <w:rPr>
          <w:rFonts w:eastAsia="Times New Roman" w:cs="Arial"/>
          <w:color w:val="202124"/>
          <w:kern w:val="0"/>
          <w:sz w:val="20"/>
          <w:szCs w:val="20"/>
          <w:lang w:eastAsia="en-IN"/>
          <w14:ligatures w14:val="none"/>
        </w:rPr>
        <w:t xml:space="preserve"> – Body Mass Index of the policyholder</w:t>
      </w:r>
    </w:p>
    <w:p w14:paraId="69C4EE8F" w14:textId="77777777" w:rsidR="0022004D" w:rsidRPr="00483D69" w:rsidRDefault="0022004D" w:rsidP="0022004D">
      <w:pPr>
        <w:numPr>
          <w:ilvl w:val="0"/>
          <w:numId w:val="14"/>
        </w:numPr>
        <w:shd w:val="clear" w:color="auto" w:fill="FFFFFF"/>
        <w:spacing w:after="0" w:line="330" w:lineRule="atLeast"/>
        <w:textAlignment w:val="baseline"/>
        <w:rPr>
          <w:rFonts w:eastAsia="Times New Roman" w:cs="Arial"/>
          <w:color w:val="202124"/>
          <w:kern w:val="0"/>
          <w:sz w:val="20"/>
          <w:szCs w:val="20"/>
          <w:lang w:eastAsia="en-IN"/>
          <w14:ligatures w14:val="none"/>
        </w:rPr>
      </w:pPr>
      <w:r w:rsidRPr="00483D69">
        <w:rPr>
          <w:rFonts w:eastAsia="Times New Roman" w:cs="Arial"/>
          <w:b/>
          <w:bCs/>
          <w:color w:val="202124"/>
          <w:kern w:val="0"/>
          <w:sz w:val="20"/>
          <w:szCs w:val="20"/>
          <w:lang w:eastAsia="en-IN"/>
          <w14:ligatures w14:val="none"/>
        </w:rPr>
        <w:t>Children</w:t>
      </w:r>
      <w:r w:rsidRPr="00483D69">
        <w:rPr>
          <w:rFonts w:eastAsia="Times New Roman" w:cs="Arial"/>
          <w:color w:val="202124"/>
          <w:kern w:val="0"/>
          <w:sz w:val="20"/>
          <w:szCs w:val="20"/>
          <w:lang w:eastAsia="en-IN"/>
          <w14:ligatures w14:val="none"/>
        </w:rPr>
        <w:t xml:space="preserve"> – Number of children covered under the policy</w:t>
      </w:r>
    </w:p>
    <w:p w14:paraId="4300C668" w14:textId="77777777" w:rsidR="0022004D" w:rsidRPr="00483D69" w:rsidRDefault="0022004D" w:rsidP="0022004D">
      <w:pPr>
        <w:numPr>
          <w:ilvl w:val="0"/>
          <w:numId w:val="14"/>
        </w:numPr>
        <w:shd w:val="clear" w:color="auto" w:fill="FFFFFF"/>
        <w:spacing w:after="0" w:line="330" w:lineRule="atLeast"/>
        <w:textAlignment w:val="baseline"/>
        <w:rPr>
          <w:rFonts w:eastAsia="Times New Roman" w:cs="Arial"/>
          <w:color w:val="202124"/>
          <w:kern w:val="0"/>
          <w:sz w:val="20"/>
          <w:szCs w:val="20"/>
          <w:lang w:eastAsia="en-IN"/>
          <w14:ligatures w14:val="none"/>
        </w:rPr>
      </w:pPr>
      <w:r w:rsidRPr="00483D69">
        <w:rPr>
          <w:rFonts w:eastAsia="Times New Roman" w:cs="Arial"/>
          <w:b/>
          <w:bCs/>
          <w:color w:val="202124"/>
          <w:kern w:val="0"/>
          <w:sz w:val="20"/>
          <w:szCs w:val="20"/>
          <w:lang w:eastAsia="en-IN"/>
          <w14:ligatures w14:val="none"/>
        </w:rPr>
        <w:t>Smoker</w:t>
      </w:r>
      <w:r w:rsidRPr="00483D69">
        <w:rPr>
          <w:rFonts w:eastAsia="Times New Roman" w:cs="Arial"/>
          <w:color w:val="202124"/>
          <w:kern w:val="0"/>
          <w:sz w:val="20"/>
          <w:szCs w:val="20"/>
          <w:lang w:eastAsia="en-IN"/>
          <w14:ligatures w14:val="none"/>
        </w:rPr>
        <w:t xml:space="preserve"> – Indicates whether the policyholder is a smoker or non-smoker</w:t>
      </w:r>
    </w:p>
    <w:p w14:paraId="0FC8512F" w14:textId="77777777" w:rsidR="0022004D" w:rsidRPr="00483D69" w:rsidRDefault="0022004D" w:rsidP="0022004D">
      <w:pPr>
        <w:numPr>
          <w:ilvl w:val="0"/>
          <w:numId w:val="14"/>
        </w:numPr>
        <w:shd w:val="clear" w:color="auto" w:fill="FFFFFF"/>
        <w:spacing w:after="0" w:line="330" w:lineRule="atLeast"/>
        <w:textAlignment w:val="baseline"/>
        <w:rPr>
          <w:rFonts w:eastAsia="Times New Roman" w:cs="Arial"/>
          <w:color w:val="202124"/>
          <w:kern w:val="0"/>
          <w:sz w:val="20"/>
          <w:szCs w:val="20"/>
          <w:lang w:eastAsia="en-IN"/>
          <w14:ligatures w14:val="none"/>
        </w:rPr>
      </w:pPr>
      <w:r w:rsidRPr="00483D69">
        <w:rPr>
          <w:rFonts w:eastAsia="Times New Roman" w:cs="Arial"/>
          <w:b/>
          <w:bCs/>
          <w:color w:val="202124"/>
          <w:kern w:val="0"/>
          <w:sz w:val="20"/>
          <w:szCs w:val="20"/>
          <w:lang w:eastAsia="en-IN"/>
          <w14:ligatures w14:val="none"/>
        </w:rPr>
        <w:t>Region</w:t>
      </w:r>
      <w:r w:rsidRPr="00483D69">
        <w:rPr>
          <w:rFonts w:eastAsia="Times New Roman" w:cs="Arial"/>
          <w:color w:val="202124"/>
          <w:kern w:val="0"/>
          <w:sz w:val="20"/>
          <w:szCs w:val="20"/>
          <w:lang w:eastAsia="en-IN"/>
          <w14:ligatures w14:val="none"/>
        </w:rPr>
        <w:t xml:space="preserve"> – Region where the policyholder resides</w:t>
      </w:r>
    </w:p>
    <w:p w14:paraId="12DF43E8" w14:textId="77777777" w:rsidR="0022004D" w:rsidRPr="00483D69" w:rsidRDefault="0022004D" w:rsidP="0022004D">
      <w:pPr>
        <w:numPr>
          <w:ilvl w:val="0"/>
          <w:numId w:val="14"/>
        </w:numPr>
        <w:shd w:val="clear" w:color="auto" w:fill="FFFFFF"/>
        <w:spacing w:after="0" w:line="330" w:lineRule="atLeast"/>
        <w:textAlignment w:val="baseline"/>
        <w:rPr>
          <w:rFonts w:eastAsia="Times New Roman" w:cs="Arial"/>
          <w:color w:val="202124"/>
          <w:kern w:val="0"/>
          <w:sz w:val="20"/>
          <w:szCs w:val="20"/>
          <w:lang w:eastAsia="en-IN"/>
          <w14:ligatures w14:val="none"/>
        </w:rPr>
      </w:pPr>
      <w:r w:rsidRPr="00483D69">
        <w:rPr>
          <w:rFonts w:eastAsia="Times New Roman" w:cs="Arial"/>
          <w:b/>
          <w:bCs/>
          <w:color w:val="202124"/>
          <w:kern w:val="0"/>
          <w:sz w:val="20"/>
          <w:szCs w:val="20"/>
          <w:lang w:eastAsia="en-IN"/>
          <w14:ligatures w14:val="none"/>
        </w:rPr>
        <w:t>Charges</w:t>
      </w:r>
      <w:r w:rsidRPr="00483D69">
        <w:rPr>
          <w:rFonts w:eastAsia="Times New Roman" w:cs="Arial"/>
          <w:color w:val="202124"/>
          <w:kern w:val="0"/>
          <w:sz w:val="20"/>
          <w:szCs w:val="20"/>
          <w:lang w:eastAsia="en-IN"/>
          <w14:ligatures w14:val="none"/>
        </w:rPr>
        <w:t xml:space="preserve"> – Insurance premium charged</w:t>
      </w:r>
    </w:p>
    <w:p w14:paraId="011CF7B7" w14:textId="77777777" w:rsidR="006972FF" w:rsidRPr="005E5FCC" w:rsidRDefault="006972FF" w:rsidP="0022004D">
      <w:pPr>
        <w:shd w:val="clear" w:color="auto" w:fill="FFFFFF"/>
        <w:spacing w:before="240" w:after="0" w:line="330" w:lineRule="atLeast"/>
        <w:textAlignment w:val="baseline"/>
        <w:rPr>
          <w:rFonts w:eastAsia="Times New Roman" w:cs="Arial"/>
          <w:b/>
          <w:bCs/>
          <w:color w:val="3C4043"/>
          <w:kern w:val="0"/>
          <w:sz w:val="27"/>
          <w:szCs w:val="27"/>
          <w:u w:val="single"/>
          <w:lang w:eastAsia="en-IN"/>
          <w14:ligatures w14:val="none"/>
        </w:rPr>
      </w:pPr>
      <w:r w:rsidRPr="005E5FCC">
        <w:rPr>
          <w:rFonts w:eastAsia="Times New Roman" w:cs="Arial"/>
          <w:b/>
          <w:bCs/>
          <w:color w:val="3C4043"/>
          <w:kern w:val="0"/>
          <w:sz w:val="27"/>
          <w:szCs w:val="27"/>
          <w:u w:val="single"/>
          <w:lang w:eastAsia="en-IN"/>
          <w14:ligatures w14:val="none"/>
        </w:rPr>
        <w:t>Methodology</w:t>
      </w:r>
    </w:p>
    <w:p w14:paraId="129E0F56" w14:textId="77777777" w:rsidR="00193859" w:rsidRPr="00193859" w:rsidRDefault="00193859" w:rsidP="0022004D">
      <w:pPr>
        <w:spacing w:after="0"/>
        <w:rPr>
          <w:rFonts w:eastAsia="Times New Roman" w:cs="Arial"/>
          <w:b/>
          <w:bCs/>
          <w:color w:val="3C4043"/>
          <w:kern w:val="0"/>
          <w:sz w:val="21"/>
          <w:szCs w:val="21"/>
          <w:lang w:eastAsia="en-IN"/>
          <w14:ligatures w14:val="none"/>
        </w:rPr>
      </w:pPr>
      <w:r w:rsidRPr="00193859">
        <w:rPr>
          <w:rFonts w:eastAsia="Times New Roman" w:cs="Arial"/>
          <w:b/>
          <w:bCs/>
          <w:color w:val="3C4043"/>
          <w:kern w:val="0"/>
          <w:sz w:val="21"/>
          <w:szCs w:val="21"/>
          <w:lang w:eastAsia="en-IN"/>
          <w14:ligatures w14:val="none"/>
        </w:rPr>
        <w:t>Data Cleaning &amp; Preparation</w:t>
      </w:r>
    </w:p>
    <w:p w14:paraId="0E1C8E53" w14:textId="3D0F414B" w:rsidR="0096753B" w:rsidRPr="0096753B" w:rsidRDefault="0096753B" w:rsidP="0096753B">
      <w:pPr>
        <w:pStyle w:val="ListParagraph"/>
        <w:numPr>
          <w:ilvl w:val="0"/>
          <w:numId w:val="28"/>
        </w:numPr>
        <w:spacing w:after="0"/>
        <w:rPr>
          <w:rFonts w:eastAsia="Times New Roman" w:cs="Arial"/>
          <w:color w:val="3C4043"/>
          <w:kern w:val="0"/>
          <w:sz w:val="20"/>
          <w:szCs w:val="20"/>
          <w:lang w:eastAsia="en-IN"/>
          <w14:ligatures w14:val="none"/>
        </w:rPr>
      </w:pPr>
      <w:r w:rsidRPr="0096753B">
        <w:rPr>
          <w:rFonts w:eastAsia="Times New Roman" w:cs="Arial"/>
          <w:color w:val="3C4043"/>
          <w:kern w:val="0"/>
          <w:sz w:val="20"/>
          <w:szCs w:val="20"/>
          <w:lang w:eastAsia="en-IN"/>
          <w14:ligatures w14:val="none"/>
        </w:rPr>
        <w:t xml:space="preserve">Verified data quality and consistency using Excel </w:t>
      </w:r>
    </w:p>
    <w:p w14:paraId="788CB3EE" w14:textId="4C84301C" w:rsidR="0096753B" w:rsidRPr="0096753B" w:rsidRDefault="0096753B" w:rsidP="0096753B">
      <w:pPr>
        <w:pStyle w:val="ListParagraph"/>
        <w:numPr>
          <w:ilvl w:val="0"/>
          <w:numId w:val="28"/>
        </w:numPr>
        <w:spacing w:after="0"/>
        <w:rPr>
          <w:rFonts w:eastAsia="Times New Roman" w:cs="Arial"/>
          <w:color w:val="3C4043"/>
          <w:kern w:val="0"/>
          <w:sz w:val="20"/>
          <w:szCs w:val="20"/>
          <w:lang w:eastAsia="en-IN"/>
          <w14:ligatures w14:val="none"/>
        </w:rPr>
      </w:pPr>
      <w:r w:rsidRPr="0096753B">
        <w:rPr>
          <w:rFonts w:eastAsia="Times New Roman" w:cs="Arial"/>
          <w:color w:val="3C4043"/>
          <w:kern w:val="0"/>
          <w:sz w:val="20"/>
          <w:szCs w:val="20"/>
          <w:lang w:eastAsia="en-IN"/>
          <w14:ligatures w14:val="none"/>
        </w:rPr>
        <w:t xml:space="preserve">No major missing or duplicate values were identified </w:t>
      </w:r>
    </w:p>
    <w:p w14:paraId="48DFB0FD" w14:textId="56138B42" w:rsidR="0096753B" w:rsidRPr="0096753B" w:rsidRDefault="0096753B" w:rsidP="0096753B">
      <w:pPr>
        <w:pStyle w:val="ListParagraph"/>
        <w:numPr>
          <w:ilvl w:val="0"/>
          <w:numId w:val="28"/>
        </w:numPr>
        <w:spacing w:after="0"/>
        <w:rPr>
          <w:rFonts w:eastAsia="Times New Roman" w:cs="Arial"/>
          <w:color w:val="3C4043"/>
          <w:kern w:val="0"/>
          <w:sz w:val="20"/>
          <w:szCs w:val="20"/>
          <w:lang w:eastAsia="en-IN"/>
          <w14:ligatures w14:val="none"/>
        </w:rPr>
      </w:pPr>
      <w:r w:rsidRPr="0096753B">
        <w:rPr>
          <w:rFonts w:eastAsia="Times New Roman" w:cs="Arial"/>
          <w:color w:val="3C4043"/>
          <w:kern w:val="0"/>
          <w:sz w:val="20"/>
          <w:szCs w:val="20"/>
          <w:lang w:eastAsia="en-IN"/>
          <w14:ligatures w14:val="none"/>
        </w:rPr>
        <w:t xml:space="preserve">Renamed columns for clarity and consistency </w:t>
      </w:r>
    </w:p>
    <w:p w14:paraId="34227445" w14:textId="66496FCD" w:rsidR="0096753B" w:rsidRPr="0096753B" w:rsidRDefault="0096753B" w:rsidP="0096753B">
      <w:pPr>
        <w:pStyle w:val="ListParagraph"/>
        <w:numPr>
          <w:ilvl w:val="0"/>
          <w:numId w:val="28"/>
        </w:numPr>
        <w:spacing w:after="0"/>
        <w:rPr>
          <w:rFonts w:eastAsia="Times New Roman" w:cs="Arial"/>
          <w:color w:val="3C4043"/>
          <w:kern w:val="0"/>
          <w:sz w:val="20"/>
          <w:szCs w:val="20"/>
          <w:lang w:eastAsia="en-IN"/>
          <w14:ligatures w14:val="none"/>
        </w:rPr>
      </w:pPr>
      <w:r w:rsidRPr="0096753B">
        <w:rPr>
          <w:rFonts w:eastAsia="Times New Roman" w:cs="Arial"/>
          <w:color w:val="3C4043"/>
          <w:kern w:val="0"/>
          <w:sz w:val="20"/>
          <w:szCs w:val="20"/>
          <w:lang w:eastAsia="en-IN"/>
          <w14:ligatures w14:val="none"/>
        </w:rPr>
        <w:t>Created calculated fields in Tableau: Age Range (18–25, 26–35, 36–45, 46+), BMI Category (Underweight, Normal, Overweight, Obese), Children Group, Smoker / Non-Smoker</w:t>
      </w:r>
    </w:p>
    <w:p w14:paraId="42DC7B02" w14:textId="6C953BC2" w:rsidR="00193859" w:rsidRPr="00193859" w:rsidRDefault="00193859" w:rsidP="0096753B">
      <w:pPr>
        <w:spacing w:after="0"/>
        <w:rPr>
          <w:rFonts w:eastAsia="Times New Roman" w:cs="Arial"/>
          <w:b/>
          <w:bCs/>
          <w:color w:val="3C4043"/>
          <w:kern w:val="0"/>
          <w:sz w:val="21"/>
          <w:szCs w:val="21"/>
          <w:lang w:eastAsia="en-IN"/>
          <w14:ligatures w14:val="none"/>
        </w:rPr>
      </w:pPr>
      <w:r w:rsidRPr="00193859">
        <w:rPr>
          <w:rFonts w:eastAsia="Times New Roman" w:cs="Arial"/>
          <w:b/>
          <w:bCs/>
          <w:color w:val="3C4043"/>
          <w:kern w:val="0"/>
          <w:sz w:val="21"/>
          <w:szCs w:val="21"/>
          <w:lang w:eastAsia="en-IN"/>
          <w14:ligatures w14:val="none"/>
        </w:rPr>
        <w:t>Data Exploration (EDA)</w:t>
      </w:r>
    </w:p>
    <w:p w14:paraId="6F53AF0A" w14:textId="6EE656D9" w:rsidR="00B235D5" w:rsidRPr="00B235D5" w:rsidRDefault="00B235D5" w:rsidP="00B235D5">
      <w:pPr>
        <w:pStyle w:val="ListParagraph"/>
        <w:numPr>
          <w:ilvl w:val="0"/>
          <w:numId w:val="27"/>
        </w:numPr>
        <w:shd w:val="clear" w:color="auto" w:fill="FFFFFF"/>
        <w:spacing w:after="0" w:line="330" w:lineRule="atLeast"/>
        <w:textAlignment w:val="baseline"/>
        <w:rPr>
          <w:rFonts w:eastAsia="Times New Roman" w:cs="Arial"/>
          <w:color w:val="3C4043"/>
          <w:kern w:val="0"/>
          <w:sz w:val="20"/>
          <w:szCs w:val="20"/>
          <w:lang w:eastAsia="en-IN"/>
          <w14:ligatures w14:val="none"/>
        </w:rPr>
      </w:pPr>
      <w:r w:rsidRPr="00B235D5">
        <w:rPr>
          <w:rFonts w:eastAsia="Times New Roman" w:cs="Arial"/>
          <w:color w:val="3C4043"/>
          <w:kern w:val="0"/>
          <w:sz w:val="20"/>
          <w:szCs w:val="20"/>
          <w:lang w:eastAsia="en-IN"/>
          <w14:ligatures w14:val="none"/>
        </w:rPr>
        <w:t>Used SQL to compute summary statistics and grouped aggregations</w:t>
      </w:r>
      <w:r>
        <w:rPr>
          <w:rFonts w:eastAsia="Times New Roman" w:cs="Arial"/>
          <w:color w:val="3C4043"/>
          <w:kern w:val="0"/>
          <w:sz w:val="20"/>
          <w:szCs w:val="20"/>
          <w:lang w:eastAsia="en-IN"/>
          <w14:ligatures w14:val="none"/>
        </w:rPr>
        <w:t>.</w:t>
      </w:r>
    </w:p>
    <w:p w14:paraId="6239C5AC" w14:textId="77777777" w:rsidR="00E72F62" w:rsidRDefault="00E72F62" w:rsidP="00B235D5">
      <w:pPr>
        <w:pStyle w:val="ListParagraph"/>
        <w:numPr>
          <w:ilvl w:val="0"/>
          <w:numId w:val="27"/>
        </w:numPr>
        <w:shd w:val="clear" w:color="auto" w:fill="FFFFFF"/>
        <w:spacing w:after="0" w:line="330" w:lineRule="atLeast"/>
        <w:textAlignment w:val="baseline"/>
        <w:rPr>
          <w:rFonts w:eastAsia="Times New Roman" w:cs="Arial"/>
          <w:color w:val="3C4043"/>
          <w:kern w:val="0"/>
          <w:sz w:val="20"/>
          <w:szCs w:val="20"/>
          <w:lang w:eastAsia="en-IN"/>
          <w14:ligatures w14:val="none"/>
        </w:rPr>
      </w:pPr>
      <w:r w:rsidRPr="00E72F62">
        <w:rPr>
          <w:rFonts w:eastAsia="Times New Roman" w:cs="Arial"/>
          <w:color w:val="3C4043"/>
          <w:kern w:val="0"/>
          <w:sz w:val="20"/>
          <w:szCs w:val="20"/>
          <w:lang w:eastAsia="en-IN"/>
          <w14:ligatures w14:val="none"/>
        </w:rPr>
        <w:t xml:space="preserve">Computed mean-based aggregations in SQL and extended the analysis using SQL window functions to calculate median charges and perform IQR-based outlier detection. Tableau was used for interactive visualization and dashboard development. </w:t>
      </w:r>
    </w:p>
    <w:p w14:paraId="584C4C40" w14:textId="6E94EC4A" w:rsidR="00B235D5" w:rsidRPr="00B235D5" w:rsidRDefault="00B235D5" w:rsidP="00B235D5">
      <w:pPr>
        <w:pStyle w:val="ListParagraph"/>
        <w:numPr>
          <w:ilvl w:val="0"/>
          <w:numId w:val="27"/>
        </w:numPr>
        <w:shd w:val="clear" w:color="auto" w:fill="FFFFFF"/>
        <w:spacing w:after="0" w:line="330" w:lineRule="atLeast"/>
        <w:textAlignment w:val="baseline"/>
        <w:rPr>
          <w:rFonts w:eastAsia="Times New Roman" w:cs="Arial"/>
          <w:color w:val="3C4043"/>
          <w:kern w:val="0"/>
          <w:sz w:val="20"/>
          <w:szCs w:val="20"/>
          <w:lang w:eastAsia="en-IN"/>
          <w14:ligatures w14:val="none"/>
        </w:rPr>
      </w:pPr>
      <w:r w:rsidRPr="00B235D5">
        <w:rPr>
          <w:rFonts w:eastAsia="Times New Roman" w:cs="Arial"/>
          <w:color w:val="3C4043"/>
          <w:kern w:val="0"/>
          <w:sz w:val="20"/>
          <w:szCs w:val="20"/>
          <w:lang w:eastAsia="en-IN"/>
          <w14:ligatures w14:val="none"/>
        </w:rPr>
        <w:t>Explored relationships between demographic, lifestyle, and financial variables</w:t>
      </w:r>
      <w:r>
        <w:rPr>
          <w:rFonts w:eastAsia="Times New Roman" w:cs="Arial"/>
          <w:color w:val="3C4043"/>
          <w:kern w:val="0"/>
          <w:sz w:val="20"/>
          <w:szCs w:val="20"/>
          <w:lang w:eastAsia="en-IN"/>
          <w14:ligatures w14:val="none"/>
        </w:rPr>
        <w:t>.</w:t>
      </w:r>
    </w:p>
    <w:p w14:paraId="23821673" w14:textId="1093B11A" w:rsidR="00B235D5" w:rsidRPr="00B235D5" w:rsidRDefault="00B235D5" w:rsidP="00B235D5">
      <w:pPr>
        <w:pStyle w:val="ListParagraph"/>
        <w:numPr>
          <w:ilvl w:val="0"/>
          <w:numId w:val="27"/>
        </w:numPr>
        <w:shd w:val="clear" w:color="auto" w:fill="FFFFFF"/>
        <w:spacing w:after="0" w:line="330" w:lineRule="atLeast"/>
        <w:textAlignment w:val="baseline"/>
        <w:rPr>
          <w:rFonts w:eastAsia="Times New Roman" w:cs="Arial"/>
          <w:color w:val="3C4043"/>
          <w:kern w:val="0"/>
          <w:sz w:val="20"/>
          <w:szCs w:val="20"/>
          <w:lang w:eastAsia="en-IN"/>
          <w14:ligatures w14:val="none"/>
        </w:rPr>
      </w:pPr>
      <w:r w:rsidRPr="00B235D5">
        <w:rPr>
          <w:rFonts w:eastAsia="Times New Roman" w:cs="Arial"/>
          <w:color w:val="3C4043"/>
          <w:kern w:val="0"/>
          <w:sz w:val="20"/>
          <w:szCs w:val="20"/>
          <w:lang w:eastAsia="en-IN"/>
          <w14:ligatures w14:val="none"/>
        </w:rPr>
        <w:t>Used Tableau to visualize trends and patterns through interactive dashboards, including a smoker × BMI interaction analysis</w:t>
      </w:r>
      <w:r>
        <w:rPr>
          <w:rFonts w:eastAsia="Times New Roman" w:cs="Arial"/>
          <w:color w:val="3C4043"/>
          <w:kern w:val="0"/>
          <w:sz w:val="20"/>
          <w:szCs w:val="20"/>
          <w:lang w:eastAsia="en-IN"/>
          <w14:ligatures w14:val="none"/>
        </w:rPr>
        <w:t>.</w:t>
      </w:r>
    </w:p>
    <w:p w14:paraId="1BE127CD" w14:textId="3FF134C4" w:rsidR="006972FF" w:rsidRPr="000670E1" w:rsidRDefault="006972FF" w:rsidP="00B235D5">
      <w:pPr>
        <w:shd w:val="clear" w:color="auto" w:fill="FFFFFF"/>
        <w:spacing w:before="240" w:after="0" w:line="330" w:lineRule="atLeast"/>
        <w:textAlignment w:val="baseline"/>
        <w:rPr>
          <w:rFonts w:eastAsia="Times New Roman" w:cs="Arial"/>
          <w:b/>
          <w:bCs/>
          <w:kern w:val="0"/>
          <w:sz w:val="27"/>
          <w:szCs w:val="27"/>
          <w:u w:val="single"/>
          <w:lang w:eastAsia="en-IN"/>
          <w14:ligatures w14:val="none"/>
        </w:rPr>
      </w:pPr>
      <w:r w:rsidRPr="000670E1">
        <w:rPr>
          <w:rFonts w:eastAsia="Times New Roman" w:cs="Arial"/>
          <w:b/>
          <w:bCs/>
          <w:kern w:val="0"/>
          <w:sz w:val="27"/>
          <w:szCs w:val="27"/>
          <w:u w:val="single"/>
          <w:lang w:eastAsia="en-IN"/>
          <w14:ligatures w14:val="none"/>
        </w:rPr>
        <w:t>Executive Summary</w:t>
      </w:r>
    </w:p>
    <w:p w14:paraId="4EB3CA79" w14:textId="4F28950C" w:rsidR="00345855" w:rsidRPr="00427B50" w:rsidRDefault="00345855" w:rsidP="00427B50">
      <w:pPr>
        <w:shd w:val="clear" w:color="auto" w:fill="FFFFFF"/>
        <w:spacing w:line="330" w:lineRule="atLeast"/>
        <w:textAlignment w:val="baseline"/>
        <w:rPr>
          <w:rFonts w:ascii="Aptos" w:eastAsia="Times New Roman" w:hAnsi="Aptos" w:cs="Arial"/>
          <w:color w:val="3C4043"/>
          <w:kern w:val="0"/>
          <w:sz w:val="20"/>
          <w:szCs w:val="20"/>
          <w:lang w:eastAsia="en-IN"/>
          <w14:ligatures w14:val="none"/>
        </w:rPr>
      </w:pPr>
      <w:r w:rsidRPr="00345855">
        <w:rPr>
          <w:rFonts w:ascii="Aptos" w:eastAsia="Times New Roman" w:hAnsi="Aptos" w:cs="Arial"/>
          <w:color w:val="3C4043"/>
          <w:kern w:val="0"/>
          <w:sz w:val="20"/>
          <w:szCs w:val="20"/>
          <w:lang w:eastAsia="en-IN"/>
          <w14:ligatures w14:val="none"/>
        </w:rPr>
        <w:t xml:space="preserve">This project analyses key factors affecting insurance premium charges. Smoking status is the single strongest driver of cost, and its effect compounds sharply with BMI: obese smokers average $41,558, roughly double the </w:t>
      </w:r>
      <w:r w:rsidRPr="000603F1">
        <w:rPr>
          <w:rFonts w:ascii="Aptos" w:eastAsia="Times New Roman" w:hAnsi="Aptos" w:cs="Arial"/>
          <w:b/>
          <w:bCs/>
          <w:color w:val="3C4043"/>
          <w:kern w:val="0"/>
          <w:sz w:val="20"/>
          <w:szCs w:val="20"/>
          <w:lang w:eastAsia="en-IN"/>
          <w14:ligatures w14:val="none"/>
        </w:rPr>
        <w:t xml:space="preserve">$19,942 </w:t>
      </w:r>
      <w:r w:rsidRPr="00345855">
        <w:rPr>
          <w:rFonts w:ascii="Aptos" w:eastAsia="Times New Roman" w:hAnsi="Aptos" w:cs="Arial"/>
          <w:color w:val="3C4043"/>
          <w:kern w:val="0"/>
          <w:sz w:val="20"/>
          <w:szCs w:val="20"/>
          <w:lang w:eastAsia="en-IN"/>
          <w14:ligatures w14:val="none"/>
        </w:rPr>
        <w:t xml:space="preserve">average for normal-weight smokers, </w:t>
      </w:r>
      <w:r w:rsidR="00DE7EB6" w:rsidRPr="00DE7EB6">
        <w:rPr>
          <w:rFonts w:ascii="Aptos" w:eastAsia="Times New Roman" w:hAnsi="Aptos" w:cs="Arial"/>
          <w:color w:val="3C4043"/>
          <w:kern w:val="0"/>
          <w:sz w:val="20"/>
          <w:szCs w:val="20"/>
          <w:lang w:eastAsia="en-IN"/>
          <w14:ligatures w14:val="none"/>
        </w:rPr>
        <w:t xml:space="preserve">while the same BMI difference barely moves cost for non-smokers </w:t>
      </w:r>
      <w:r w:rsidR="00DE7EB6" w:rsidRPr="00DE7EB6">
        <w:rPr>
          <w:rFonts w:ascii="Aptos" w:eastAsia="Times New Roman" w:hAnsi="Aptos" w:cs="Arial"/>
          <w:b/>
          <w:bCs/>
          <w:color w:val="3C4043"/>
          <w:kern w:val="0"/>
          <w:sz w:val="20"/>
          <w:szCs w:val="20"/>
          <w:lang w:eastAsia="en-IN"/>
          <w14:ligatures w14:val="none"/>
        </w:rPr>
        <w:t>($8,863 vs $7,600)</w:t>
      </w:r>
      <w:r w:rsidRPr="00DE7EB6">
        <w:rPr>
          <w:rFonts w:ascii="Aptos" w:eastAsia="Times New Roman" w:hAnsi="Aptos" w:cs="Arial"/>
          <w:b/>
          <w:bCs/>
          <w:color w:val="3C4043"/>
          <w:kern w:val="0"/>
          <w:sz w:val="20"/>
          <w:szCs w:val="20"/>
          <w:lang w:eastAsia="en-IN"/>
          <w14:ligatures w14:val="none"/>
        </w:rPr>
        <w:t>.</w:t>
      </w:r>
      <w:r w:rsidRPr="00345855">
        <w:rPr>
          <w:rFonts w:ascii="Aptos" w:eastAsia="Times New Roman" w:hAnsi="Aptos" w:cs="Arial"/>
          <w:color w:val="3C4043"/>
          <w:kern w:val="0"/>
          <w:sz w:val="20"/>
          <w:szCs w:val="20"/>
          <w:lang w:eastAsia="en-IN"/>
          <w14:ligatures w14:val="none"/>
        </w:rPr>
        <w:t xml:space="preserve"> Charges are right-skewed </w:t>
      </w:r>
      <w:r w:rsidRPr="000603F1">
        <w:rPr>
          <w:rFonts w:ascii="Aptos" w:eastAsia="Times New Roman" w:hAnsi="Aptos" w:cs="Arial"/>
          <w:b/>
          <w:bCs/>
          <w:color w:val="3C4043"/>
          <w:kern w:val="0"/>
          <w:sz w:val="20"/>
          <w:szCs w:val="20"/>
          <w:lang w:eastAsia="en-IN"/>
          <w14:ligatures w14:val="none"/>
        </w:rPr>
        <w:t>(mean $13,270 vs median $9,382)</w:t>
      </w:r>
      <w:r w:rsidRPr="00345855">
        <w:rPr>
          <w:rFonts w:ascii="Aptos" w:eastAsia="Times New Roman" w:hAnsi="Aptos" w:cs="Arial"/>
          <w:color w:val="3C4043"/>
          <w:kern w:val="0"/>
          <w:sz w:val="20"/>
          <w:szCs w:val="20"/>
          <w:lang w:eastAsia="en-IN"/>
          <w14:ligatures w14:val="none"/>
        </w:rPr>
        <w:t xml:space="preserve">, so mean-based figures throughout this report should be read alongside the median. </w:t>
      </w:r>
      <w:r w:rsidR="0028293D" w:rsidRPr="0028293D">
        <w:rPr>
          <w:rFonts w:ascii="Aptos" w:eastAsia="Times New Roman" w:hAnsi="Aptos" w:cs="Arial"/>
          <w:color w:val="3C4043"/>
          <w:kern w:val="0"/>
          <w:sz w:val="20"/>
          <w:szCs w:val="20"/>
          <w:lang w:eastAsia="en-IN"/>
          <w14:ligatures w14:val="none"/>
        </w:rPr>
        <w:t>Age shows a positive relationship with insurance charges across policyholders</w:t>
      </w:r>
      <w:r w:rsidRPr="00345855">
        <w:rPr>
          <w:rFonts w:ascii="Aptos" w:eastAsia="Times New Roman" w:hAnsi="Aptos" w:cs="Arial"/>
          <w:color w:val="3C4043"/>
          <w:kern w:val="0"/>
          <w:sz w:val="20"/>
          <w:szCs w:val="20"/>
          <w:lang w:eastAsia="en-IN"/>
          <w14:ligatures w14:val="none"/>
        </w:rPr>
        <w:t xml:space="preserve">. Regional variations exist, with the </w:t>
      </w:r>
      <w:r w:rsidRPr="00345855">
        <w:rPr>
          <w:rFonts w:ascii="Aptos" w:eastAsia="Times New Roman" w:hAnsi="Aptos" w:cs="Arial"/>
          <w:color w:val="3C4043"/>
          <w:kern w:val="0"/>
          <w:sz w:val="20"/>
          <w:szCs w:val="20"/>
          <w:lang w:eastAsia="en-IN"/>
          <w14:ligatures w14:val="none"/>
        </w:rPr>
        <w:lastRenderedPageBreak/>
        <w:t>Southeast region exhibiting higher average charges. Gender shows minimal impact on premium amounts.</w:t>
      </w:r>
    </w:p>
    <w:p w14:paraId="0E36E451" w14:textId="77777777" w:rsidR="00427B50" w:rsidRPr="00427B50" w:rsidRDefault="00427B50" w:rsidP="00427B50">
      <w:pPr>
        <w:shd w:val="clear" w:color="auto" w:fill="FFFFFF"/>
        <w:spacing w:line="330" w:lineRule="atLeast"/>
        <w:textAlignment w:val="baseline"/>
        <w:rPr>
          <w:rFonts w:ascii="Aptos" w:eastAsia="Times New Roman" w:hAnsi="Aptos" w:cs="Arial"/>
          <w:color w:val="3C4043"/>
          <w:kern w:val="0"/>
          <w:sz w:val="21"/>
          <w:szCs w:val="21"/>
          <w:lang w:eastAsia="en-IN"/>
          <w14:ligatures w14:val="none"/>
        </w:rPr>
      </w:pPr>
    </w:p>
    <w:p w14:paraId="6AE1B371" w14:textId="77777777" w:rsidR="00427B50" w:rsidRPr="00427B50" w:rsidRDefault="00427B50" w:rsidP="00427B50">
      <w:pPr>
        <w:spacing w:before="240" w:after="0" w:line="276" w:lineRule="auto"/>
        <w:rPr>
          <w:rFonts w:ascii="Aptos" w:eastAsia="Aptos" w:hAnsi="Aptos" w:cs="Times New Roman"/>
          <w:b/>
          <w:bCs/>
          <w:sz w:val="27"/>
          <w:szCs w:val="27"/>
          <w:u w:val="single"/>
        </w:rPr>
      </w:pPr>
      <w:r w:rsidRPr="00427B50">
        <w:rPr>
          <w:rFonts w:ascii="Aptos" w:eastAsia="Aptos" w:hAnsi="Aptos" w:cs="Times New Roman"/>
          <w:b/>
          <w:bCs/>
          <w:sz w:val="27"/>
          <w:szCs w:val="27"/>
          <w:u w:val="single"/>
        </w:rPr>
        <w:t>Objective of the Project</w:t>
      </w:r>
    </w:p>
    <w:p w14:paraId="7FAEBD37" w14:textId="26CB6AD0" w:rsidR="002B5F13" w:rsidRPr="002B5F13" w:rsidRDefault="002B5F13" w:rsidP="002B5F13">
      <w:pPr>
        <w:pStyle w:val="ListParagraph"/>
        <w:numPr>
          <w:ilvl w:val="0"/>
          <w:numId w:val="29"/>
        </w:numPr>
        <w:spacing w:after="0" w:line="240" w:lineRule="auto"/>
        <w:rPr>
          <w:rFonts w:ascii="Aptos" w:eastAsia="Aptos" w:hAnsi="Aptos" w:cs="Times New Roman"/>
          <w:sz w:val="20"/>
          <w:szCs w:val="20"/>
        </w:rPr>
      </w:pPr>
      <w:r w:rsidRPr="002B5F13">
        <w:rPr>
          <w:rFonts w:ascii="Aptos" w:eastAsia="Aptos" w:hAnsi="Aptos" w:cs="Times New Roman"/>
          <w:sz w:val="20"/>
          <w:szCs w:val="20"/>
        </w:rPr>
        <w:t xml:space="preserve">To identify key drivers of insurance premium charges </w:t>
      </w:r>
    </w:p>
    <w:p w14:paraId="6D9DE635" w14:textId="418A0597" w:rsidR="002B5F13" w:rsidRPr="002B5F13" w:rsidRDefault="002B5F13" w:rsidP="002B5F13">
      <w:pPr>
        <w:pStyle w:val="ListParagraph"/>
        <w:numPr>
          <w:ilvl w:val="0"/>
          <w:numId w:val="29"/>
        </w:numPr>
        <w:spacing w:after="0" w:line="240" w:lineRule="auto"/>
        <w:rPr>
          <w:rFonts w:ascii="Aptos" w:eastAsia="Aptos" w:hAnsi="Aptos" w:cs="Times New Roman"/>
          <w:sz w:val="20"/>
          <w:szCs w:val="20"/>
        </w:rPr>
      </w:pPr>
      <w:r w:rsidRPr="002B5F13">
        <w:rPr>
          <w:rFonts w:ascii="Aptos" w:eastAsia="Aptos" w:hAnsi="Aptos" w:cs="Times New Roman"/>
          <w:sz w:val="20"/>
          <w:szCs w:val="20"/>
        </w:rPr>
        <w:t xml:space="preserve">To analyse the impact of health, lifestyle, and demographic factors </w:t>
      </w:r>
    </w:p>
    <w:p w14:paraId="4A61E0DF" w14:textId="77458E81" w:rsidR="002B5F13" w:rsidRPr="002B5F13" w:rsidRDefault="002B5F13" w:rsidP="002B5F13">
      <w:pPr>
        <w:pStyle w:val="ListParagraph"/>
        <w:numPr>
          <w:ilvl w:val="0"/>
          <w:numId w:val="29"/>
        </w:numPr>
        <w:spacing w:after="0" w:line="240" w:lineRule="auto"/>
        <w:rPr>
          <w:rFonts w:ascii="Aptos" w:eastAsia="Aptos" w:hAnsi="Aptos" w:cs="Times New Roman"/>
          <w:sz w:val="20"/>
          <w:szCs w:val="20"/>
        </w:rPr>
      </w:pPr>
      <w:r w:rsidRPr="002B5F13">
        <w:rPr>
          <w:rFonts w:ascii="Aptos" w:eastAsia="Aptos" w:hAnsi="Aptos" w:cs="Times New Roman"/>
          <w:sz w:val="20"/>
          <w:szCs w:val="20"/>
        </w:rPr>
        <w:t>To support data-driven pricing and risk segmentation decisions</w:t>
      </w:r>
    </w:p>
    <w:p w14:paraId="1A568E4D" w14:textId="755148C7" w:rsidR="00427B50" w:rsidRPr="00427B50" w:rsidRDefault="00427B50" w:rsidP="002B5F13">
      <w:pPr>
        <w:spacing w:before="240" w:after="0" w:line="240" w:lineRule="auto"/>
        <w:rPr>
          <w:rFonts w:ascii="Aptos" w:eastAsia="Aptos" w:hAnsi="Aptos" w:cs="Times New Roman"/>
          <w:b/>
          <w:bCs/>
          <w:sz w:val="27"/>
          <w:szCs w:val="27"/>
          <w:u w:val="single"/>
        </w:rPr>
      </w:pPr>
      <w:r w:rsidRPr="00427B50">
        <w:rPr>
          <w:rFonts w:ascii="Aptos" w:eastAsia="Aptos" w:hAnsi="Aptos" w:cs="Times New Roman"/>
          <w:b/>
          <w:bCs/>
          <w:sz w:val="27"/>
          <w:szCs w:val="27"/>
          <w:u w:val="single"/>
        </w:rPr>
        <w:t>Analysis &amp; Dashboards</w:t>
      </w:r>
    </w:p>
    <w:p w14:paraId="059DE5F6" w14:textId="77777777" w:rsidR="00427B50" w:rsidRPr="00427B50" w:rsidRDefault="00427B50" w:rsidP="00427B50">
      <w:pPr>
        <w:spacing w:after="0" w:line="240" w:lineRule="auto"/>
        <w:rPr>
          <w:rFonts w:ascii="Aptos" w:eastAsia="Aptos" w:hAnsi="Aptos" w:cs="Times New Roman"/>
          <w:b/>
          <w:bCs/>
          <w:sz w:val="27"/>
          <w:szCs w:val="27"/>
        </w:rPr>
      </w:pPr>
      <w:r w:rsidRPr="00427B50">
        <w:rPr>
          <w:rFonts w:ascii="Aptos" w:eastAsia="Aptos" w:hAnsi="Aptos" w:cs="Times New Roman"/>
          <w:b/>
          <w:bCs/>
          <w:sz w:val="21"/>
          <w:szCs w:val="21"/>
        </w:rPr>
        <w:t>Dashboard 1: Customer Demographics</w:t>
      </w:r>
    </w:p>
    <w:p w14:paraId="158BB482" w14:textId="77777777" w:rsidR="00427B50" w:rsidRPr="00427B50" w:rsidRDefault="00427B50" w:rsidP="00427B50">
      <w:pPr>
        <w:numPr>
          <w:ilvl w:val="0"/>
          <w:numId w:val="18"/>
        </w:numPr>
        <w:spacing w:after="0" w:line="240" w:lineRule="auto"/>
        <w:rPr>
          <w:rFonts w:ascii="Aptos" w:eastAsia="Aptos" w:hAnsi="Aptos" w:cs="Times New Roman"/>
          <w:sz w:val="20"/>
          <w:szCs w:val="20"/>
        </w:rPr>
      </w:pPr>
      <w:r w:rsidRPr="00427B50">
        <w:rPr>
          <w:rFonts w:ascii="Aptos" w:eastAsia="Aptos" w:hAnsi="Aptos" w:cs="Times New Roman"/>
          <w:sz w:val="20"/>
          <w:szCs w:val="20"/>
        </w:rPr>
        <w:t>Age and gender distribution of policyholders</w:t>
      </w:r>
    </w:p>
    <w:p w14:paraId="2B98A42A" w14:textId="77777777" w:rsidR="00427B50" w:rsidRPr="00427B50" w:rsidRDefault="00427B50" w:rsidP="00427B50">
      <w:pPr>
        <w:numPr>
          <w:ilvl w:val="0"/>
          <w:numId w:val="18"/>
        </w:numPr>
        <w:spacing w:after="0" w:line="240" w:lineRule="auto"/>
        <w:rPr>
          <w:rFonts w:ascii="Aptos" w:eastAsia="Aptos" w:hAnsi="Aptos" w:cs="Times New Roman"/>
          <w:sz w:val="20"/>
          <w:szCs w:val="20"/>
        </w:rPr>
      </w:pPr>
      <w:r w:rsidRPr="00427B50">
        <w:rPr>
          <w:rFonts w:ascii="Aptos" w:eastAsia="Aptos" w:hAnsi="Aptos" w:cs="Times New Roman"/>
          <w:sz w:val="20"/>
          <w:szCs w:val="20"/>
        </w:rPr>
        <w:t>Customer distribution across regions</w:t>
      </w:r>
    </w:p>
    <w:p w14:paraId="19DE96EF" w14:textId="77777777" w:rsidR="00427B50" w:rsidRPr="00427B50" w:rsidRDefault="00427B50" w:rsidP="00427B50">
      <w:pPr>
        <w:numPr>
          <w:ilvl w:val="0"/>
          <w:numId w:val="18"/>
        </w:numPr>
        <w:spacing w:after="0" w:line="240" w:lineRule="auto"/>
        <w:rPr>
          <w:rFonts w:ascii="Aptos" w:eastAsia="Aptos" w:hAnsi="Aptos" w:cs="Times New Roman"/>
          <w:sz w:val="20"/>
          <w:szCs w:val="20"/>
        </w:rPr>
      </w:pPr>
      <w:r w:rsidRPr="00427B50">
        <w:rPr>
          <w:rFonts w:ascii="Aptos" w:eastAsia="Aptos" w:hAnsi="Aptos" w:cs="Times New Roman"/>
          <w:sz w:val="20"/>
          <w:szCs w:val="20"/>
        </w:rPr>
        <w:t>Average charges by age group</w:t>
      </w:r>
    </w:p>
    <w:p w14:paraId="66727DD9" w14:textId="1E7B7294" w:rsidR="00917F6D" w:rsidRDefault="0016368E" w:rsidP="006972FF">
      <w:pPr>
        <w:spacing w:before="240" w:line="240" w:lineRule="auto"/>
        <w:rPr>
          <w:sz w:val="27"/>
          <w:szCs w:val="27"/>
        </w:rPr>
      </w:pPr>
      <w:r>
        <w:rPr>
          <w:noProof/>
          <w:sz w:val="27"/>
          <w:szCs w:val="27"/>
        </w:rPr>
        <w:drawing>
          <wp:inline distT="0" distB="0" distL="0" distR="0" wp14:anchorId="7725B770" wp14:editId="733AE1C5">
            <wp:extent cx="5731510" cy="2799715"/>
            <wp:effectExtent l="0" t="0" r="2540" b="635"/>
            <wp:docPr id="176367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76486" name="Picture 17636764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99715"/>
                    </a:xfrm>
                    <a:prstGeom prst="rect">
                      <a:avLst/>
                    </a:prstGeom>
                  </pic:spPr>
                </pic:pic>
              </a:graphicData>
            </a:graphic>
          </wp:inline>
        </w:drawing>
      </w:r>
    </w:p>
    <w:p w14:paraId="328EE86B" w14:textId="77777777" w:rsidR="002962CC" w:rsidRPr="002962CC" w:rsidRDefault="002962CC" w:rsidP="0022004D">
      <w:pPr>
        <w:spacing w:after="0" w:line="240" w:lineRule="auto"/>
        <w:rPr>
          <w:b/>
          <w:bCs/>
          <w:sz w:val="21"/>
          <w:szCs w:val="21"/>
        </w:rPr>
      </w:pPr>
      <w:r w:rsidRPr="002962CC">
        <w:rPr>
          <w:b/>
          <w:bCs/>
          <w:sz w:val="21"/>
          <w:szCs w:val="21"/>
        </w:rPr>
        <w:t>Dashboard 2: Health &amp; Lifestyle Impact</w:t>
      </w:r>
    </w:p>
    <w:p w14:paraId="0FDA2D07" w14:textId="77777777" w:rsidR="007E524C" w:rsidRPr="007E524C" w:rsidRDefault="007E524C" w:rsidP="007E524C">
      <w:pPr>
        <w:numPr>
          <w:ilvl w:val="0"/>
          <w:numId w:val="19"/>
        </w:numPr>
        <w:spacing w:after="0" w:line="240" w:lineRule="auto"/>
        <w:rPr>
          <w:rFonts w:ascii="Aptos" w:eastAsia="Aptos" w:hAnsi="Aptos" w:cs="Times New Roman"/>
          <w:sz w:val="20"/>
          <w:szCs w:val="20"/>
        </w:rPr>
      </w:pPr>
      <w:r w:rsidRPr="007E524C">
        <w:rPr>
          <w:rFonts w:ascii="Aptos" w:eastAsia="Aptos" w:hAnsi="Aptos" w:cs="Times New Roman"/>
          <w:sz w:val="20"/>
          <w:szCs w:val="20"/>
        </w:rPr>
        <w:t>Comparison of average and median charges for smokers vs non-smokers</w:t>
      </w:r>
    </w:p>
    <w:p w14:paraId="3FFE14C0" w14:textId="77777777" w:rsidR="007E524C" w:rsidRPr="007E524C" w:rsidRDefault="007E524C" w:rsidP="007E524C">
      <w:pPr>
        <w:numPr>
          <w:ilvl w:val="0"/>
          <w:numId w:val="19"/>
        </w:numPr>
        <w:spacing w:after="0" w:line="240" w:lineRule="auto"/>
        <w:rPr>
          <w:rFonts w:ascii="Aptos" w:eastAsia="Aptos" w:hAnsi="Aptos" w:cs="Times New Roman"/>
          <w:sz w:val="20"/>
          <w:szCs w:val="20"/>
        </w:rPr>
      </w:pPr>
      <w:r w:rsidRPr="007E524C">
        <w:rPr>
          <w:rFonts w:ascii="Aptos" w:eastAsia="Aptos" w:hAnsi="Aptos" w:cs="Times New Roman"/>
          <w:sz w:val="20"/>
          <w:szCs w:val="20"/>
        </w:rPr>
        <w:t>Average and median charges by BMI category</w:t>
      </w:r>
    </w:p>
    <w:p w14:paraId="116ECDDD" w14:textId="77777777" w:rsidR="007E524C" w:rsidRPr="007E524C" w:rsidRDefault="007E524C" w:rsidP="007E524C">
      <w:pPr>
        <w:numPr>
          <w:ilvl w:val="0"/>
          <w:numId w:val="19"/>
        </w:numPr>
        <w:spacing w:after="0" w:line="240" w:lineRule="auto"/>
        <w:rPr>
          <w:rFonts w:ascii="Aptos" w:eastAsia="Aptos" w:hAnsi="Aptos" w:cs="Times New Roman"/>
          <w:sz w:val="20"/>
          <w:szCs w:val="20"/>
        </w:rPr>
      </w:pPr>
      <w:r w:rsidRPr="007E524C">
        <w:rPr>
          <w:rFonts w:ascii="Aptos" w:eastAsia="Aptos" w:hAnsi="Aptos" w:cs="Times New Roman"/>
          <w:sz w:val="20"/>
          <w:szCs w:val="20"/>
        </w:rPr>
        <w:t>Relationship between age and charges segmented by smoker status (per-record scatter plot)</w:t>
      </w:r>
    </w:p>
    <w:p w14:paraId="62DC4F08" w14:textId="77777777" w:rsidR="007E524C" w:rsidRPr="007E524C" w:rsidRDefault="007E524C" w:rsidP="007E524C">
      <w:pPr>
        <w:numPr>
          <w:ilvl w:val="0"/>
          <w:numId w:val="19"/>
        </w:numPr>
        <w:spacing w:after="0" w:line="240" w:lineRule="auto"/>
        <w:rPr>
          <w:rFonts w:ascii="Aptos" w:eastAsia="Aptos" w:hAnsi="Aptos" w:cs="Times New Roman"/>
          <w:sz w:val="20"/>
          <w:szCs w:val="20"/>
        </w:rPr>
      </w:pPr>
      <w:r w:rsidRPr="007E524C">
        <w:rPr>
          <w:rFonts w:ascii="Aptos" w:eastAsia="Aptos" w:hAnsi="Aptos" w:cs="Times New Roman"/>
          <w:sz w:val="20"/>
          <w:szCs w:val="20"/>
        </w:rPr>
        <w:t xml:space="preserve">Charges by BMI category, split by smoker status — shows the </w:t>
      </w:r>
      <w:proofErr w:type="spellStart"/>
      <w:r w:rsidRPr="007E524C">
        <w:rPr>
          <w:rFonts w:ascii="Aptos" w:eastAsia="Aptos" w:hAnsi="Aptos" w:cs="Times New Roman"/>
          <w:sz w:val="20"/>
          <w:szCs w:val="20"/>
        </w:rPr>
        <w:t>smoker×BMI</w:t>
      </w:r>
      <w:proofErr w:type="spellEnd"/>
      <w:r w:rsidRPr="007E524C">
        <w:rPr>
          <w:rFonts w:ascii="Aptos" w:eastAsia="Aptos" w:hAnsi="Aptos" w:cs="Times New Roman"/>
          <w:sz w:val="20"/>
          <w:szCs w:val="20"/>
        </w:rPr>
        <w:t xml:space="preserve"> interaction (obese smokers average roughly double normal-weight smokers)</w:t>
      </w:r>
    </w:p>
    <w:p w14:paraId="69C14BF8" w14:textId="188370EB" w:rsidR="002C5324" w:rsidRDefault="004225FA" w:rsidP="006972FF">
      <w:pPr>
        <w:spacing w:before="240" w:line="240" w:lineRule="auto"/>
        <w:rPr>
          <w:sz w:val="27"/>
          <w:szCs w:val="27"/>
        </w:rPr>
      </w:pPr>
      <w:r w:rsidRPr="004225FA">
        <w:rPr>
          <w:b/>
          <w:bCs/>
          <w:noProof/>
          <w:sz w:val="27"/>
          <w:szCs w:val="27"/>
        </w:rPr>
        <w:lastRenderedPageBreak/>
        <w:t xml:space="preserve"> </w:t>
      </w:r>
      <w:r w:rsidR="0016368E">
        <w:rPr>
          <w:noProof/>
          <w:sz w:val="27"/>
          <w:szCs w:val="27"/>
        </w:rPr>
        <w:drawing>
          <wp:inline distT="0" distB="0" distL="0" distR="0" wp14:anchorId="058FABA2" wp14:editId="6FBAFAF8">
            <wp:extent cx="5731510" cy="2755900"/>
            <wp:effectExtent l="0" t="0" r="2540" b="6350"/>
            <wp:docPr id="982434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34655" name="Picture 9824346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55900"/>
                    </a:xfrm>
                    <a:prstGeom prst="rect">
                      <a:avLst/>
                    </a:prstGeom>
                  </pic:spPr>
                </pic:pic>
              </a:graphicData>
            </a:graphic>
          </wp:inline>
        </w:drawing>
      </w:r>
    </w:p>
    <w:p w14:paraId="0A0E4E17" w14:textId="77777777" w:rsidR="002962CC" w:rsidRDefault="002962CC" w:rsidP="006972FF">
      <w:pPr>
        <w:spacing w:before="240" w:line="240" w:lineRule="auto"/>
        <w:rPr>
          <w:sz w:val="21"/>
          <w:szCs w:val="21"/>
        </w:rPr>
      </w:pPr>
    </w:p>
    <w:p w14:paraId="6B8316E4" w14:textId="77777777" w:rsidR="004F0DE3" w:rsidRDefault="004F0DE3" w:rsidP="0022004D">
      <w:pPr>
        <w:spacing w:after="0" w:line="240" w:lineRule="auto"/>
        <w:rPr>
          <w:b/>
          <w:bCs/>
          <w:sz w:val="21"/>
          <w:szCs w:val="21"/>
        </w:rPr>
      </w:pPr>
    </w:p>
    <w:p w14:paraId="376B512F" w14:textId="286FFE7F" w:rsidR="0096186B" w:rsidRPr="0096186B" w:rsidRDefault="0096186B" w:rsidP="0022004D">
      <w:pPr>
        <w:spacing w:after="0" w:line="240" w:lineRule="auto"/>
        <w:rPr>
          <w:b/>
          <w:bCs/>
          <w:sz w:val="21"/>
          <w:szCs w:val="21"/>
        </w:rPr>
      </w:pPr>
      <w:r w:rsidRPr="0096186B">
        <w:rPr>
          <w:b/>
          <w:bCs/>
          <w:sz w:val="21"/>
          <w:szCs w:val="21"/>
        </w:rPr>
        <w:t>Dashboard 3: Family &amp; Financial Insights</w:t>
      </w:r>
    </w:p>
    <w:p w14:paraId="73266315" w14:textId="009CA279" w:rsidR="00835772" w:rsidRPr="00835772" w:rsidRDefault="00835772" w:rsidP="00835772">
      <w:pPr>
        <w:numPr>
          <w:ilvl w:val="0"/>
          <w:numId w:val="20"/>
        </w:numPr>
        <w:spacing w:after="0" w:line="240" w:lineRule="auto"/>
        <w:rPr>
          <w:rFonts w:ascii="Aptos" w:eastAsia="Aptos" w:hAnsi="Aptos" w:cs="Times New Roman"/>
          <w:sz w:val="20"/>
          <w:szCs w:val="20"/>
        </w:rPr>
      </w:pPr>
      <w:r w:rsidRPr="00835772">
        <w:rPr>
          <w:rFonts w:ascii="Aptos" w:eastAsia="Aptos" w:hAnsi="Aptos" w:cs="Times New Roman"/>
          <w:sz w:val="20"/>
          <w:szCs w:val="20"/>
        </w:rPr>
        <w:t>Average and median charges by number of children, with sample size (n=) labelled on each bar</w:t>
      </w:r>
    </w:p>
    <w:p w14:paraId="22B3FF29" w14:textId="77777777" w:rsidR="00835772" w:rsidRPr="00835772" w:rsidRDefault="00835772" w:rsidP="00835772">
      <w:pPr>
        <w:numPr>
          <w:ilvl w:val="0"/>
          <w:numId w:val="20"/>
        </w:numPr>
        <w:spacing w:after="0" w:line="240" w:lineRule="auto"/>
        <w:rPr>
          <w:rFonts w:ascii="Aptos" w:eastAsia="Aptos" w:hAnsi="Aptos" w:cs="Times New Roman"/>
          <w:sz w:val="20"/>
          <w:szCs w:val="20"/>
        </w:rPr>
      </w:pPr>
      <w:r w:rsidRPr="00835772">
        <w:rPr>
          <w:rFonts w:ascii="Aptos" w:eastAsia="Aptos" w:hAnsi="Aptos" w:cs="Times New Roman"/>
          <w:sz w:val="20"/>
          <w:szCs w:val="20"/>
        </w:rPr>
        <w:t>Average and median charges by region</w:t>
      </w:r>
    </w:p>
    <w:p w14:paraId="6E509C56" w14:textId="77777777" w:rsidR="00835772" w:rsidRPr="00835772" w:rsidRDefault="00835772" w:rsidP="00835772">
      <w:pPr>
        <w:numPr>
          <w:ilvl w:val="0"/>
          <w:numId w:val="20"/>
        </w:numPr>
        <w:spacing w:after="0" w:line="240" w:lineRule="auto"/>
        <w:rPr>
          <w:rFonts w:ascii="Aptos" w:eastAsia="Aptos" w:hAnsi="Aptos" w:cs="Times New Roman"/>
          <w:sz w:val="20"/>
          <w:szCs w:val="20"/>
        </w:rPr>
      </w:pPr>
      <w:r w:rsidRPr="00835772">
        <w:rPr>
          <w:rFonts w:ascii="Aptos" w:eastAsia="Aptos" w:hAnsi="Aptos" w:cs="Times New Roman"/>
          <w:sz w:val="20"/>
          <w:szCs w:val="20"/>
        </w:rPr>
        <w:t>Combined filters for smoker status, children, and region</w:t>
      </w:r>
    </w:p>
    <w:p w14:paraId="0CA22EAA" w14:textId="446593C8" w:rsidR="001559F7" w:rsidRPr="00312D6C" w:rsidRDefault="009E71B9" w:rsidP="006972FF">
      <w:pPr>
        <w:rPr>
          <w:b/>
          <w:bCs/>
          <w:sz w:val="27"/>
          <w:szCs w:val="27"/>
        </w:rPr>
      </w:pPr>
      <w:r>
        <w:rPr>
          <w:b/>
          <w:bCs/>
          <w:noProof/>
          <w:sz w:val="27"/>
          <w:szCs w:val="27"/>
        </w:rPr>
        <w:drawing>
          <wp:inline distT="0" distB="0" distL="0" distR="0" wp14:anchorId="5857A041" wp14:editId="5AFE7AD4">
            <wp:extent cx="5731510" cy="2739390"/>
            <wp:effectExtent l="0" t="0" r="2540" b="3810"/>
            <wp:docPr id="161474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48880" name="Picture 16147488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39390"/>
                    </a:xfrm>
                    <a:prstGeom prst="rect">
                      <a:avLst/>
                    </a:prstGeom>
                  </pic:spPr>
                </pic:pic>
              </a:graphicData>
            </a:graphic>
          </wp:inline>
        </w:drawing>
      </w:r>
    </w:p>
    <w:p w14:paraId="1E49CC56" w14:textId="77777777" w:rsidR="00BF7FA9" w:rsidRPr="00BF7FA9" w:rsidRDefault="00BF7FA9" w:rsidP="00BF7FA9">
      <w:pPr>
        <w:spacing w:before="240" w:after="0" w:line="276" w:lineRule="auto"/>
        <w:rPr>
          <w:rFonts w:ascii="Aptos" w:eastAsia="Aptos" w:hAnsi="Aptos" w:cs="Times New Roman"/>
          <w:b/>
          <w:bCs/>
          <w:sz w:val="22"/>
          <w:szCs w:val="22"/>
        </w:rPr>
      </w:pPr>
      <w:r w:rsidRPr="00BF7FA9">
        <w:rPr>
          <w:rFonts w:ascii="Aptos" w:eastAsia="Aptos" w:hAnsi="Aptos" w:cs="Times New Roman"/>
          <w:b/>
          <w:bCs/>
          <w:sz w:val="22"/>
          <w:szCs w:val="22"/>
        </w:rPr>
        <w:t>Supporting Analysis (SQL Outputs)</w:t>
      </w:r>
    </w:p>
    <w:p w14:paraId="093DE02C" w14:textId="77777777" w:rsidR="00263F45" w:rsidRPr="00263F45" w:rsidRDefault="00263F45" w:rsidP="00263F45">
      <w:pPr>
        <w:numPr>
          <w:ilvl w:val="0"/>
          <w:numId w:val="36"/>
        </w:numPr>
        <w:spacing w:after="0" w:line="276" w:lineRule="auto"/>
        <w:rPr>
          <w:rFonts w:eastAsia="Times New Roman" w:cs="Times New Roman"/>
          <w:kern w:val="0"/>
          <w:sz w:val="20"/>
          <w:szCs w:val="20"/>
          <w:lang w:eastAsia="en-IN"/>
          <w14:ligatures w14:val="none"/>
        </w:rPr>
      </w:pPr>
      <w:r w:rsidRPr="00263F45">
        <w:rPr>
          <w:rFonts w:eastAsia="Times New Roman" w:cs="Times New Roman"/>
          <w:kern w:val="0"/>
          <w:sz w:val="20"/>
          <w:szCs w:val="20"/>
          <w:lang w:eastAsia="en-IN"/>
          <w14:ligatures w14:val="none"/>
        </w:rPr>
        <w:t xml:space="preserve">Total Policyholders: </w:t>
      </w:r>
      <w:r w:rsidRPr="00263F45">
        <w:rPr>
          <w:rFonts w:eastAsia="Times New Roman" w:cs="Times New Roman"/>
          <w:b/>
          <w:bCs/>
          <w:kern w:val="0"/>
          <w:sz w:val="20"/>
          <w:szCs w:val="20"/>
          <w:lang w:eastAsia="en-IN"/>
          <w14:ligatures w14:val="none"/>
        </w:rPr>
        <w:t>1,338</w:t>
      </w:r>
    </w:p>
    <w:p w14:paraId="25CD9C7A" w14:textId="77777777" w:rsidR="00263F45" w:rsidRPr="00263F45" w:rsidRDefault="00263F45" w:rsidP="00263F45">
      <w:pPr>
        <w:numPr>
          <w:ilvl w:val="0"/>
          <w:numId w:val="36"/>
        </w:numPr>
        <w:spacing w:after="0" w:line="276" w:lineRule="auto"/>
        <w:rPr>
          <w:rFonts w:eastAsia="Times New Roman" w:cs="Times New Roman"/>
          <w:kern w:val="0"/>
          <w:sz w:val="20"/>
          <w:szCs w:val="20"/>
          <w:lang w:eastAsia="en-IN"/>
          <w14:ligatures w14:val="none"/>
        </w:rPr>
      </w:pPr>
      <w:r w:rsidRPr="00263F45">
        <w:rPr>
          <w:rFonts w:eastAsia="Times New Roman" w:cs="Times New Roman"/>
          <w:kern w:val="0"/>
          <w:sz w:val="20"/>
          <w:szCs w:val="20"/>
          <w:lang w:eastAsia="en-IN"/>
          <w14:ligatures w14:val="none"/>
        </w:rPr>
        <w:t xml:space="preserve">Average Age: </w:t>
      </w:r>
      <w:r w:rsidRPr="00263F45">
        <w:rPr>
          <w:rFonts w:eastAsia="Times New Roman" w:cs="Times New Roman"/>
          <w:b/>
          <w:bCs/>
          <w:kern w:val="0"/>
          <w:sz w:val="20"/>
          <w:szCs w:val="20"/>
          <w:lang w:eastAsia="en-IN"/>
          <w14:ligatures w14:val="none"/>
        </w:rPr>
        <w:t>39.2 years</w:t>
      </w:r>
    </w:p>
    <w:p w14:paraId="5BF8B967" w14:textId="77777777" w:rsidR="00263F45" w:rsidRPr="00263F45" w:rsidRDefault="00263F45" w:rsidP="00263F45">
      <w:pPr>
        <w:numPr>
          <w:ilvl w:val="0"/>
          <w:numId w:val="36"/>
        </w:numPr>
        <w:spacing w:after="0" w:line="276" w:lineRule="auto"/>
        <w:rPr>
          <w:rFonts w:eastAsia="Times New Roman" w:cs="Times New Roman"/>
          <w:kern w:val="0"/>
          <w:sz w:val="20"/>
          <w:szCs w:val="20"/>
          <w:lang w:eastAsia="en-IN"/>
          <w14:ligatures w14:val="none"/>
        </w:rPr>
      </w:pPr>
      <w:r w:rsidRPr="00263F45">
        <w:rPr>
          <w:rFonts w:eastAsia="Times New Roman" w:cs="Times New Roman"/>
          <w:kern w:val="0"/>
          <w:sz w:val="20"/>
          <w:szCs w:val="20"/>
          <w:lang w:eastAsia="en-IN"/>
          <w14:ligatures w14:val="none"/>
        </w:rPr>
        <w:t xml:space="preserve">Average BMI: </w:t>
      </w:r>
      <w:r w:rsidRPr="00263F45">
        <w:rPr>
          <w:rFonts w:eastAsia="Times New Roman" w:cs="Times New Roman"/>
          <w:b/>
          <w:bCs/>
          <w:kern w:val="0"/>
          <w:sz w:val="20"/>
          <w:szCs w:val="20"/>
          <w:lang w:eastAsia="en-IN"/>
          <w14:ligatures w14:val="none"/>
        </w:rPr>
        <w:t>30.66</w:t>
      </w:r>
    </w:p>
    <w:p w14:paraId="6FED9063" w14:textId="77777777" w:rsidR="00263F45" w:rsidRPr="00263F45" w:rsidRDefault="00263F45" w:rsidP="00263F45">
      <w:pPr>
        <w:numPr>
          <w:ilvl w:val="0"/>
          <w:numId w:val="36"/>
        </w:numPr>
        <w:spacing w:after="0" w:line="276" w:lineRule="auto"/>
        <w:rPr>
          <w:rFonts w:eastAsia="Times New Roman" w:cs="Times New Roman"/>
          <w:kern w:val="0"/>
          <w:sz w:val="20"/>
          <w:szCs w:val="20"/>
          <w:lang w:eastAsia="en-IN"/>
          <w14:ligatures w14:val="none"/>
        </w:rPr>
      </w:pPr>
      <w:r w:rsidRPr="00263F45">
        <w:rPr>
          <w:rFonts w:eastAsia="Times New Roman" w:cs="Times New Roman"/>
          <w:kern w:val="0"/>
          <w:sz w:val="20"/>
          <w:szCs w:val="20"/>
          <w:lang w:eastAsia="en-IN"/>
          <w14:ligatures w14:val="none"/>
        </w:rPr>
        <w:t xml:space="preserve">Average Insurance Charges: </w:t>
      </w:r>
      <w:r w:rsidRPr="00263F45">
        <w:rPr>
          <w:rFonts w:eastAsia="Times New Roman" w:cs="Times New Roman"/>
          <w:b/>
          <w:bCs/>
          <w:kern w:val="0"/>
          <w:sz w:val="20"/>
          <w:szCs w:val="20"/>
          <w:lang w:eastAsia="en-IN"/>
          <w14:ligatures w14:val="none"/>
        </w:rPr>
        <w:t>$13,270</w:t>
      </w:r>
    </w:p>
    <w:p w14:paraId="07C91C5B" w14:textId="77777777" w:rsidR="00263F45" w:rsidRPr="00263F45" w:rsidRDefault="00263F45" w:rsidP="00263F45">
      <w:pPr>
        <w:numPr>
          <w:ilvl w:val="0"/>
          <w:numId w:val="36"/>
        </w:numPr>
        <w:spacing w:after="0" w:line="276" w:lineRule="auto"/>
        <w:rPr>
          <w:rFonts w:eastAsia="Times New Roman" w:cs="Times New Roman"/>
          <w:kern w:val="0"/>
          <w:sz w:val="20"/>
          <w:szCs w:val="20"/>
          <w:lang w:eastAsia="en-IN"/>
          <w14:ligatures w14:val="none"/>
        </w:rPr>
      </w:pPr>
      <w:r w:rsidRPr="00263F45">
        <w:rPr>
          <w:rFonts w:eastAsia="Times New Roman" w:cs="Times New Roman"/>
          <w:kern w:val="0"/>
          <w:sz w:val="20"/>
          <w:szCs w:val="20"/>
          <w:lang w:eastAsia="en-IN"/>
          <w14:ligatures w14:val="none"/>
        </w:rPr>
        <w:t xml:space="preserve">Median Insurance Charges: </w:t>
      </w:r>
      <w:r w:rsidRPr="00263F45">
        <w:rPr>
          <w:rFonts w:eastAsia="Times New Roman" w:cs="Times New Roman"/>
          <w:b/>
          <w:bCs/>
          <w:kern w:val="0"/>
          <w:sz w:val="20"/>
          <w:szCs w:val="20"/>
          <w:lang w:eastAsia="en-IN"/>
          <w14:ligatures w14:val="none"/>
        </w:rPr>
        <w:t>$9,382</w:t>
      </w:r>
    </w:p>
    <w:p w14:paraId="4951823C" w14:textId="77777777" w:rsidR="00263F45" w:rsidRPr="00263F45" w:rsidRDefault="00263F45" w:rsidP="00263F45">
      <w:pPr>
        <w:spacing w:before="240" w:line="276" w:lineRule="auto"/>
        <w:rPr>
          <w:rFonts w:eastAsia="Times New Roman" w:cs="Times New Roman"/>
          <w:kern w:val="0"/>
          <w:sz w:val="20"/>
          <w:szCs w:val="20"/>
          <w:lang w:eastAsia="en-IN"/>
          <w14:ligatures w14:val="none"/>
        </w:rPr>
      </w:pPr>
      <w:r w:rsidRPr="00263F45">
        <w:rPr>
          <w:rFonts w:eastAsia="Times New Roman" w:cs="Times New Roman"/>
          <w:kern w:val="0"/>
          <w:sz w:val="20"/>
          <w:szCs w:val="20"/>
          <w:lang w:eastAsia="en-IN"/>
          <w14:ligatures w14:val="none"/>
        </w:rPr>
        <w:t>Additional SQL analysis showed:</w:t>
      </w:r>
    </w:p>
    <w:p w14:paraId="56FE13F5" w14:textId="77777777" w:rsidR="00263F45" w:rsidRPr="00263F45" w:rsidRDefault="00263F45" w:rsidP="00263F45">
      <w:pPr>
        <w:numPr>
          <w:ilvl w:val="0"/>
          <w:numId w:val="37"/>
        </w:numPr>
        <w:spacing w:after="0" w:line="276" w:lineRule="auto"/>
        <w:rPr>
          <w:rFonts w:eastAsia="Times New Roman" w:cs="Times New Roman"/>
          <w:kern w:val="0"/>
          <w:sz w:val="20"/>
          <w:szCs w:val="20"/>
          <w:lang w:eastAsia="en-IN"/>
          <w14:ligatures w14:val="none"/>
        </w:rPr>
      </w:pPr>
      <w:r w:rsidRPr="00263F45">
        <w:rPr>
          <w:rFonts w:eastAsia="Times New Roman" w:cs="Times New Roman"/>
          <w:kern w:val="0"/>
          <w:sz w:val="20"/>
          <w:szCs w:val="20"/>
          <w:lang w:eastAsia="en-IN"/>
          <w14:ligatures w14:val="none"/>
        </w:rPr>
        <w:t>Smokers have significantly higher average and median charges than non-smokers.</w:t>
      </w:r>
    </w:p>
    <w:p w14:paraId="6C5087E0" w14:textId="77777777" w:rsidR="00263F45" w:rsidRPr="00263F45" w:rsidRDefault="00263F45" w:rsidP="00263F45">
      <w:pPr>
        <w:numPr>
          <w:ilvl w:val="0"/>
          <w:numId w:val="37"/>
        </w:numPr>
        <w:spacing w:after="0" w:line="276" w:lineRule="auto"/>
        <w:rPr>
          <w:rFonts w:eastAsia="Times New Roman" w:cs="Times New Roman"/>
          <w:kern w:val="0"/>
          <w:sz w:val="20"/>
          <w:szCs w:val="20"/>
          <w:lang w:eastAsia="en-IN"/>
          <w14:ligatures w14:val="none"/>
        </w:rPr>
      </w:pPr>
      <w:r w:rsidRPr="00263F45">
        <w:rPr>
          <w:rFonts w:eastAsia="Times New Roman" w:cs="Times New Roman"/>
          <w:kern w:val="0"/>
          <w:sz w:val="20"/>
          <w:szCs w:val="20"/>
          <w:lang w:eastAsia="en-IN"/>
          <w14:ligatures w14:val="none"/>
        </w:rPr>
        <w:lastRenderedPageBreak/>
        <w:t>Insurance charges increase with BMI, with obese customers having the highest average and median costs.</w:t>
      </w:r>
    </w:p>
    <w:p w14:paraId="68798F76" w14:textId="77777777" w:rsidR="00263F45" w:rsidRPr="00263F45" w:rsidRDefault="00263F45" w:rsidP="00263F45">
      <w:pPr>
        <w:numPr>
          <w:ilvl w:val="0"/>
          <w:numId w:val="37"/>
        </w:numPr>
        <w:spacing w:after="0" w:line="276" w:lineRule="auto"/>
        <w:rPr>
          <w:rFonts w:eastAsia="Times New Roman" w:cs="Times New Roman"/>
          <w:kern w:val="0"/>
          <w:sz w:val="20"/>
          <w:szCs w:val="20"/>
          <w:lang w:eastAsia="en-IN"/>
          <w14:ligatures w14:val="none"/>
        </w:rPr>
      </w:pPr>
      <w:r w:rsidRPr="00263F45">
        <w:rPr>
          <w:rFonts w:eastAsia="Times New Roman" w:cs="Times New Roman"/>
          <w:kern w:val="0"/>
          <w:sz w:val="20"/>
          <w:szCs w:val="20"/>
          <w:lang w:eastAsia="en-IN"/>
          <w14:ligatures w14:val="none"/>
        </w:rPr>
        <w:t>The combined effect of smoking and obesity produces the highest insurance charges, making obese smokers the highest-risk customer segment.</w:t>
      </w:r>
    </w:p>
    <w:p w14:paraId="1A81A212" w14:textId="77777777" w:rsidR="00263F45" w:rsidRPr="00263F45" w:rsidRDefault="00263F45" w:rsidP="00263F45">
      <w:pPr>
        <w:numPr>
          <w:ilvl w:val="0"/>
          <w:numId w:val="37"/>
        </w:numPr>
        <w:spacing w:after="0" w:line="276" w:lineRule="auto"/>
        <w:rPr>
          <w:rFonts w:eastAsia="Times New Roman" w:cs="Times New Roman"/>
          <w:kern w:val="0"/>
          <w:sz w:val="20"/>
          <w:szCs w:val="20"/>
          <w:lang w:eastAsia="en-IN"/>
          <w14:ligatures w14:val="none"/>
        </w:rPr>
      </w:pPr>
      <w:r w:rsidRPr="00263F45">
        <w:rPr>
          <w:rFonts w:eastAsia="Times New Roman" w:cs="Times New Roman"/>
          <w:kern w:val="0"/>
          <w:sz w:val="20"/>
          <w:szCs w:val="20"/>
          <w:lang w:eastAsia="en-IN"/>
          <w14:ligatures w14:val="none"/>
        </w:rPr>
        <w:t>Insurance charges generally increase with the number of children up to 2–3 dependents.</w:t>
      </w:r>
    </w:p>
    <w:p w14:paraId="7A335E35" w14:textId="77777777" w:rsidR="00263F45" w:rsidRPr="00263F45" w:rsidRDefault="00263F45" w:rsidP="00263F45">
      <w:pPr>
        <w:numPr>
          <w:ilvl w:val="0"/>
          <w:numId w:val="37"/>
        </w:numPr>
        <w:spacing w:after="0" w:line="276" w:lineRule="auto"/>
        <w:rPr>
          <w:rFonts w:eastAsia="Times New Roman" w:cs="Times New Roman"/>
          <w:kern w:val="0"/>
          <w:sz w:val="20"/>
          <w:szCs w:val="20"/>
          <w:lang w:eastAsia="en-IN"/>
          <w14:ligatures w14:val="none"/>
        </w:rPr>
      </w:pPr>
      <w:r w:rsidRPr="00263F45">
        <w:rPr>
          <w:rFonts w:eastAsia="Times New Roman" w:cs="Times New Roman"/>
          <w:kern w:val="0"/>
          <w:sz w:val="20"/>
          <w:szCs w:val="20"/>
          <w:lang w:eastAsia="en-IN"/>
          <w14:ligatures w14:val="none"/>
        </w:rPr>
        <w:t>Smokers in the Southeast region represent the highest-cost customer segments.</w:t>
      </w:r>
    </w:p>
    <w:p w14:paraId="1FB21702" w14:textId="77777777" w:rsidR="00263F45" w:rsidRPr="00263F45" w:rsidRDefault="00263F45" w:rsidP="00263F45">
      <w:pPr>
        <w:numPr>
          <w:ilvl w:val="0"/>
          <w:numId w:val="37"/>
        </w:numPr>
        <w:spacing w:after="0" w:line="276" w:lineRule="auto"/>
        <w:rPr>
          <w:rFonts w:eastAsia="Times New Roman" w:cs="Times New Roman"/>
          <w:kern w:val="0"/>
          <w:sz w:val="20"/>
          <w:szCs w:val="20"/>
          <w:lang w:eastAsia="en-IN"/>
          <w14:ligatures w14:val="none"/>
        </w:rPr>
      </w:pPr>
      <w:r w:rsidRPr="00263F45">
        <w:rPr>
          <w:rFonts w:eastAsia="Times New Roman" w:cs="Times New Roman"/>
          <w:kern w:val="0"/>
          <w:sz w:val="20"/>
          <w:szCs w:val="20"/>
          <w:lang w:eastAsia="en-IN"/>
          <w14:ligatures w14:val="none"/>
        </w:rPr>
        <w:t>An IQR-based outlier assessment was performed separately for smokers and non-smokers to evaluate extreme charge values while preserving legitimate high-risk observations.</w:t>
      </w:r>
    </w:p>
    <w:p w14:paraId="70059D00" w14:textId="77777777" w:rsidR="00724AF9" w:rsidRPr="00724AF9" w:rsidRDefault="00724AF9" w:rsidP="00724AF9">
      <w:pPr>
        <w:spacing w:before="240" w:after="0" w:line="276" w:lineRule="auto"/>
        <w:rPr>
          <w:rFonts w:ascii="Aptos" w:eastAsia="Aptos" w:hAnsi="Aptos" w:cs="Times New Roman"/>
          <w:b/>
          <w:bCs/>
          <w:sz w:val="27"/>
          <w:szCs w:val="27"/>
          <w:u w:val="single"/>
        </w:rPr>
      </w:pPr>
      <w:r w:rsidRPr="00724AF9">
        <w:rPr>
          <w:rFonts w:ascii="Aptos" w:eastAsia="Aptos" w:hAnsi="Aptos" w:cs="Times New Roman"/>
          <w:b/>
          <w:bCs/>
          <w:sz w:val="27"/>
          <w:szCs w:val="27"/>
          <w:u w:val="single"/>
        </w:rPr>
        <w:t>Key Insights</w:t>
      </w:r>
    </w:p>
    <w:p w14:paraId="5045DE68" w14:textId="54B34273" w:rsidR="00481911" w:rsidRPr="00481911" w:rsidRDefault="00481911" w:rsidP="00481911">
      <w:pPr>
        <w:pStyle w:val="ListParagraph"/>
        <w:numPr>
          <w:ilvl w:val="0"/>
          <w:numId w:val="35"/>
        </w:numPr>
        <w:spacing w:after="0" w:line="276" w:lineRule="auto"/>
        <w:rPr>
          <w:rFonts w:ascii="Aptos" w:eastAsia="Aptos" w:hAnsi="Aptos" w:cs="Times New Roman"/>
          <w:sz w:val="20"/>
          <w:szCs w:val="20"/>
        </w:rPr>
      </w:pPr>
      <w:r w:rsidRPr="00481911">
        <w:rPr>
          <w:rFonts w:ascii="Aptos" w:eastAsia="Aptos" w:hAnsi="Aptos" w:cs="Times New Roman"/>
          <w:sz w:val="20"/>
          <w:szCs w:val="20"/>
        </w:rPr>
        <w:t>Smoking is the strongest driver of insurance costs, with smokers paying approximately 3–4 times higher premiums than non-smokers.</w:t>
      </w:r>
    </w:p>
    <w:p w14:paraId="4BBC3A3E" w14:textId="77777777" w:rsidR="000A27E2" w:rsidRDefault="000A27E2" w:rsidP="00481911">
      <w:pPr>
        <w:pStyle w:val="ListParagraph"/>
        <w:numPr>
          <w:ilvl w:val="0"/>
          <w:numId w:val="35"/>
        </w:numPr>
        <w:spacing w:after="0" w:line="276" w:lineRule="auto"/>
        <w:rPr>
          <w:rFonts w:ascii="Aptos" w:eastAsia="Aptos" w:hAnsi="Aptos" w:cs="Times New Roman"/>
          <w:sz w:val="20"/>
          <w:szCs w:val="20"/>
        </w:rPr>
      </w:pPr>
      <w:r w:rsidRPr="000A27E2">
        <w:rPr>
          <w:rFonts w:ascii="Aptos" w:eastAsia="Aptos" w:hAnsi="Aptos" w:cs="Times New Roman"/>
          <w:sz w:val="20"/>
          <w:szCs w:val="20"/>
        </w:rPr>
        <w:t xml:space="preserve">The impact of BMI is substantially stronger among smokers. Obese smokers average </w:t>
      </w:r>
      <w:r w:rsidRPr="000A27E2">
        <w:rPr>
          <w:rFonts w:ascii="Aptos" w:eastAsia="Aptos" w:hAnsi="Aptos" w:cs="Times New Roman"/>
          <w:b/>
          <w:bCs/>
          <w:sz w:val="20"/>
          <w:szCs w:val="20"/>
        </w:rPr>
        <w:t xml:space="preserve">$41,558 </w:t>
      </w:r>
      <w:r w:rsidRPr="000A27E2">
        <w:rPr>
          <w:rFonts w:ascii="Aptos" w:eastAsia="Aptos" w:hAnsi="Aptos" w:cs="Times New Roman"/>
          <w:sz w:val="20"/>
          <w:szCs w:val="20"/>
        </w:rPr>
        <w:t xml:space="preserve">compared with </w:t>
      </w:r>
      <w:r w:rsidRPr="000A27E2">
        <w:rPr>
          <w:rFonts w:ascii="Aptos" w:eastAsia="Aptos" w:hAnsi="Aptos" w:cs="Times New Roman"/>
          <w:b/>
          <w:bCs/>
          <w:sz w:val="20"/>
          <w:szCs w:val="20"/>
        </w:rPr>
        <w:t>$19,942</w:t>
      </w:r>
      <w:r w:rsidRPr="000A27E2">
        <w:rPr>
          <w:rFonts w:ascii="Aptos" w:eastAsia="Aptos" w:hAnsi="Aptos" w:cs="Times New Roman"/>
          <w:sz w:val="20"/>
          <w:szCs w:val="20"/>
        </w:rPr>
        <w:t xml:space="preserve"> for normal-weight smokers, while obesity increases non-smoker charges only modestly </w:t>
      </w:r>
      <w:r w:rsidRPr="000A27E2">
        <w:rPr>
          <w:rFonts w:ascii="Aptos" w:eastAsia="Aptos" w:hAnsi="Aptos" w:cs="Times New Roman"/>
          <w:b/>
          <w:bCs/>
          <w:sz w:val="20"/>
          <w:szCs w:val="20"/>
        </w:rPr>
        <w:t>($8,863 vs $7,600).</w:t>
      </w:r>
    </w:p>
    <w:p w14:paraId="6C6932C6" w14:textId="099C497F" w:rsidR="00481911" w:rsidRPr="00481911" w:rsidRDefault="00481911" w:rsidP="00481911">
      <w:pPr>
        <w:pStyle w:val="ListParagraph"/>
        <w:numPr>
          <w:ilvl w:val="0"/>
          <w:numId w:val="35"/>
        </w:numPr>
        <w:spacing w:after="0" w:line="276" w:lineRule="auto"/>
        <w:rPr>
          <w:rFonts w:ascii="Aptos" w:eastAsia="Aptos" w:hAnsi="Aptos" w:cs="Times New Roman"/>
          <w:sz w:val="20"/>
          <w:szCs w:val="20"/>
        </w:rPr>
      </w:pPr>
      <w:r w:rsidRPr="00481911">
        <w:rPr>
          <w:rFonts w:ascii="Aptos" w:eastAsia="Aptos" w:hAnsi="Aptos" w:cs="Times New Roman"/>
          <w:sz w:val="20"/>
          <w:szCs w:val="20"/>
        </w:rPr>
        <w:t>Insurance charges generally increase with age, indicating a positive relationship between age and healthcare risk.</w:t>
      </w:r>
    </w:p>
    <w:p w14:paraId="32AAD936" w14:textId="070202D1" w:rsidR="009434A1" w:rsidRPr="009434A1" w:rsidRDefault="00481911" w:rsidP="009434A1">
      <w:pPr>
        <w:pStyle w:val="ListParagraph"/>
        <w:numPr>
          <w:ilvl w:val="0"/>
          <w:numId w:val="35"/>
        </w:numPr>
        <w:spacing w:after="0" w:line="276" w:lineRule="auto"/>
        <w:rPr>
          <w:rFonts w:ascii="Aptos" w:eastAsia="Aptos" w:hAnsi="Aptos" w:cs="Times New Roman"/>
          <w:sz w:val="20"/>
          <w:szCs w:val="20"/>
        </w:rPr>
      </w:pPr>
      <w:r w:rsidRPr="00481911">
        <w:rPr>
          <w:rFonts w:ascii="Aptos" w:eastAsia="Aptos" w:hAnsi="Aptos" w:cs="Times New Roman"/>
          <w:sz w:val="20"/>
          <w:szCs w:val="20"/>
        </w:rPr>
        <w:t>The Southeast region records the highest average insurance charges among all regions.</w:t>
      </w:r>
      <w:r w:rsidR="009434A1">
        <w:rPr>
          <w:rFonts w:ascii="Aptos" w:eastAsia="Aptos" w:hAnsi="Aptos" w:cs="Times New Roman"/>
          <w:sz w:val="20"/>
          <w:szCs w:val="20"/>
        </w:rPr>
        <w:t xml:space="preserve"> </w:t>
      </w:r>
      <w:r w:rsidR="009434A1" w:rsidRPr="009434A1">
        <w:rPr>
          <w:rFonts w:ascii="Aptos" w:eastAsia="Aptos" w:hAnsi="Aptos" w:cs="Times New Roman"/>
          <w:sz w:val="20"/>
          <w:szCs w:val="20"/>
        </w:rPr>
        <w:t>Regional comparisons depend on which average is used: the Southeast has the highest mean charges, but the Northeast has the highest median ($10,058), indicating Southeast's higher mean is driven by a concentration of high-cost cases rather than a uniformly higher typical cost.</w:t>
      </w:r>
    </w:p>
    <w:p w14:paraId="63A87E99" w14:textId="52D84352" w:rsidR="00481911" w:rsidRPr="00481911" w:rsidRDefault="00481911" w:rsidP="00481911">
      <w:pPr>
        <w:pStyle w:val="ListParagraph"/>
        <w:numPr>
          <w:ilvl w:val="0"/>
          <w:numId w:val="35"/>
        </w:numPr>
        <w:spacing w:after="0" w:line="276" w:lineRule="auto"/>
        <w:rPr>
          <w:rFonts w:ascii="Aptos" w:eastAsia="Aptos" w:hAnsi="Aptos" w:cs="Times New Roman"/>
          <w:sz w:val="20"/>
          <w:szCs w:val="20"/>
        </w:rPr>
      </w:pPr>
      <w:r w:rsidRPr="00481911">
        <w:rPr>
          <w:rFonts w:ascii="Aptos" w:eastAsia="Aptos" w:hAnsi="Aptos" w:cs="Times New Roman"/>
          <w:sz w:val="20"/>
          <w:szCs w:val="20"/>
        </w:rPr>
        <w:t>Insurance charges tend to increase with family size up to 2–3 children; the decline observed for policyholders with 5 children is based on a very small sample size (</w:t>
      </w:r>
      <w:r w:rsidRPr="00481911">
        <w:rPr>
          <w:rFonts w:ascii="Aptos" w:eastAsia="Aptos" w:hAnsi="Aptos" w:cs="Times New Roman"/>
          <w:b/>
          <w:bCs/>
          <w:sz w:val="20"/>
          <w:szCs w:val="20"/>
        </w:rPr>
        <w:t>n=18</w:t>
      </w:r>
      <w:r w:rsidRPr="00481911">
        <w:rPr>
          <w:rFonts w:ascii="Aptos" w:eastAsia="Aptos" w:hAnsi="Aptos" w:cs="Times New Roman"/>
          <w:sz w:val="20"/>
          <w:szCs w:val="20"/>
        </w:rPr>
        <w:t>) and should not be interpreted as a broader trend.</w:t>
      </w:r>
    </w:p>
    <w:p w14:paraId="520DAE77" w14:textId="7CFC7D16" w:rsidR="00481911" w:rsidRPr="00481911" w:rsidRDefault="00481911" w:rsidP="00481911">
      <w:pPr>
        <w:pStyle w:val="ListParagraph"/>
        <w:numPr>
          <w:ilvl w:val="0"/>
          <w:numId w:val="35"/>
        </w:numPr>
        <w:spacing w:after="0" w:line="276" w:lineRule="auto"/>
        <w:rPr>
          <w:rFonts w:ascii="Aptos" w:eastAsia="Aptos" w:hAnsi="Aptos" w:cs="Times New Roman"/>
          <w:sz w:val="20"/>
          <w:szCs w:val="20"/>
        </w:rPr>
      </w:pPr>
      <w:r w:rsidRPr="00481911">
        <w:rPr>
          <w:rFonts w:ascii="Aptos" w:eastAsia="Aptos" w:hAnsi="Aptos" w:cs="Times New Roman"/>
          <w:sz w:val="20"/>
          <w:szCs w:val="20"/>
        </w:rPr>
        <w:t>Insurance charges exhibit a right-skewed distribution, as reflected by the gap between the mean (</w:t>
      </w:r>
      <w:r w:rsidRPr="00481911">
        <w:rPr>
          <w:rFonts w:ascii="Aptos" w:eastAsia="Aptos" w:hAnsi="Aptos" w:cs="Times New Roman"/>
          <w:b/>
          <w:bCs/>
          <w:sz w:val="20"/>
          <w:szCs w:val="20"/>
        </w:rPr>
        <w:t>$13,270</w:t>
      </w:r>
      <w:r w:rsidRPr="00481911">
        <w:rPr>
          <w:rFonts w:ascii="Aptos" w:eastAsia="Aptos" w:hAnsi="Aptos" w:cs="Times New Roman"/>
          <w:sz w:val="20"/>
          <w:szCs w:val="20"/>
        </w:rPr>
        <w:t>) and median (</w:t>
      </w:r>
      <w:r w:rsidRPr="00481911">
        <w:rPr>
          <w:rFonts w:ascii="Aptos" w:eastAsia="Aptos" w:hAnsi="Aptos" w:cs="Times New Roman"/>
          <w:b/>
          <w:bCs/>
          <w:sz w:val="20"/>
          <w:szCs w:val="20"/>
        </w:rPr>
        <w:t>$9,382</w:t>
      </w:r>
      <w:r w:rsidRPr="00481911">
        <w:rPr>
          <w:rFonts w:ascii="Aptos" w:eastAsia="Aptos" w:hAnsi="Aptos" w:cs="Times New Roman"/>
          <w:sz w:val="20"/>
          <w:szCs w:val="20"/>
        </w:rPr>
        <w:t>).</w:t>
      </w:r>
    </w:p>
    <w:p w14:paraId="6624EAFE" w14:textId="77777777" w:rsidR="00FA168F" w:rsidRDefault="00FA168F" w:rsidP="00481911">
      <w:pPr>
        <w:pStyle w:val="ListParagraph"/>
        <w:numPr>
          <w:ilvl w:val="0"/>
          <w:numId w:val="35"/>
        </w:numPr>
        <w:spacing w:after="0" w:line="276" w:lineRule="auto"/>
        <w:rPr>
          <w:rFonts w:ascii="Aptos" w:eastAsia="Aptos" w:hAnsi="Aptos" w:cs="Times New Roman"/>
          <w:sz w:val="20"/>
          <w:szCs w:val="20"/>
        </w:rPr>
      </w:pPr>
      <w:r w:rsidRPr="00FA168F">
        <w:rPr>
          <w:rFonts w:ascii="Aptos" w:eastAsia="Aptos" w:hAnsi="Aptos" w:cs="Times New Roman"/>
          <w:sz w:val="20"/>
          <w:szCs w:val="20"/>
        </w:rPr>
        <w:t>A within-group outlier assessment (IQR method, applied separately to smokers and non-smokers) found 46 potential outliers among non-smokers and none among smokers, confirming that high smoker charges reflect a genuinely different cost distribution rather than data errors; no records were removed.</w:t>
      </w:r>
    </w:p>
    <w:p w14:paraId="30D679FA" w14:textId="20187A9F" w:rsidR="00481911" w:rsidRPr="00481911" w:rsidRDefault="00481911" w:rsidP="00481911">
      <w:pPr>
        <w:pStyle w:val="ListParagraph"/>
        <w:numPr>
          <w:ilvl w:val="0"/>
          <w:numId w:val="35"/>
        </w:numPr>
        <w:spacing w:after="0" w:line="276" w:lineRule="auto"/>
        <w:rPr>
          <w:rFonts w:ascii="Aptos" w:eastAsia="Aptos" w:hAnsi="Aptos" w:cs="Times New Roman"/>
          <w:sz w:val="20"/>
          <w:szCs w:val="20"/>
        </w:rPr>
      </w:pPr>
      <w:r w:rsidRPr="00481911">
        <w:rPr>
          <w:rFonts w:ascii="Aptos" w:eastAsia="Aptos" w:hAnsi="Aptos" w:cs="Times New Roman"/>
          <w:sz w:val="20"/>
          <w:szCs w:val="20"/>
        </w:rPr>
        <w:t>Gender has minimal influence on insurance premium amounts compared with health and lifestyle factors.</w:t>
      </w:r>
    </w:p>
    <w:p w14:paraId="5C8894AA" w14:textId="5F6E9852" w:rsidR="00724AF9" w:rsidRPr="00724AF9" w:rsidRDefault="00724AF9" w:rsidP="00481911">
      <w:pPr>
        <w:spacing w:before="240" w:after="0" w:line="276" w:lineRule="auto"/>
        <w:rPr>
          <w:rFonts w:ascii="Aptos" w:eastAsia="Aptos" w:hAnsi="Aptos" w:cs="Times New Roman"/>
          <w:b/>
          <w:bCs/>
          <w:sz w:val="27"/>
          <w:szCs w:val="27"/>
          <w:u w:val="single"/>
        </w:rPr>
      </w:pPr>
      <w:r w:rsidRPr="00724AF9">
        <w:rPr>
          <w:rFonts w:ascii="Aptos" w:eastAsia="Aptos" w:hAnsi="Aptos" w:cs="Times New Roman"/>
          <w:b/>
          <w:bCs/>
          <w:sz w:val="27"/>
          <w:szCs w:val="27"/>
          <w:u w:val="single"/>
        </w:rPr>
        <w:t>Conclusion</w:t>
      </w:r>
    </w:p>
    <w:p w14:paraId="463CD5A6" w14:textId="31D23C9B" w:rsidR="00055013" w:rsidRPr="00055013" w:rsidRDefault="00055013" w:rsidP="00055013">
      <w:pPr>
        <w:spacing w:after="0" w:line="276" w:lineRule="auto"/>
        <w:rPr>
          <w:rFonts w:ascii="Aptos" w:eastAsia="Aptos" w:hAnsi="Aptos" w:cs="Times New Roman"/>
          <w:sz w:val="20"/>
          <w:szCs w:val="20"/>
        </w:rPr>
      </w:pPr>
      <w:r w:rsidRPr="00055013">
        <w:rPr>
          <w:rFonts w:ascii="Aptos" w:eastAsia="Aptos" w:hAnsi="Aptos" w:cs="Times New Roman"/>
          <w:sz w:val="20"/>
          <w:szCs w:val="20"/>
        </w:rPr>
        <w:t>This analysis demonstrates that insurance premiums are driven primarily by health and lifestyle characteristics rather than demographic attributes. Smoking status is the most influential factor affecting insurance charges, and its impact becomes significantly stronger when combined with high BMI. The smoker × BMI interaction revealed that obese smokers represent the highest-risk and highest-cost customer segment, paying roughly double the premiums of normal-weight smokers.</w:t>
      </w:r>
      <w:r w:rsidR="0066371A">
        <w:rPr>
          <w:rFonts w:ascii="Aptos" w:eastAsia="Aptos" w:hAnsi="Aptos" w:cs="Times New Roman"/>
          <w:sz w:val="20"/>
          <w:szCs w:val="20"/>
        </w:rPr>
        <w:t xml:space="preserve"> </w:t>
      </w:r>
      <w:r w:rsidR="0066371A" w:rsidRPr="0066371A">
        <w:rPr>
          <w:rFonts w:ascii="Aptos" w:eastAsia="Aptos" w:hAnsi="Aptos" w:cs="Times New Roman"/>
          <w:sz w:val="20"/>
          <w:szCs w:val="20"/>
        </w:rPr>
        <w:t>Charges are also right-skewed, so mean-based comparisons throughout this analysis should be interpreted alongside the median.</w:t>
      </w:r>
    </w:p>
    <w:p w14:paraId="26DD28B5" w14:textId="77777777" w:rsidR="00055013" w:rsidRPr="00055013" w:rsidRDefault="00055013" w:rsidP="00055013">
      <w:pPr>
        <w:spacing w:before="240" w:after="0" w:line="276" w:lineRule="auto"/>
        <w:rPr>
          <w:rFonts w:ascii="Aptos" w:eastAsia="Aptos" w:hAnsi="Aptos" w:cs="Times New Roman"/>
          <w:sz w:val="20"/>
          <w:szCs w:val="20"/>
        </w:rPr>
      </w:pPr>
      <w:r w:rsidRPr="00055013">
        <w:rPr>
          <w:rFonts w:ascii="Aptos" w:eastAsia="Aptos" w:hAnsi="Aptos" w:cs="Times New Roman"/>
          <w:sz w:val="20"/>
          <w:szCs w:val="20"/>
        </w:rPr>
        <w:t>The findings also indicate that insurance charges generally increase with age and vary across regions, with the Southeast showing the highest average costs. In contrast, gender has relatively little influence on premium amounts.</w:t>
      </w:r>
    </w:p>
    <w:p w14:paraId="0D6F74B5" w14:textId="77777777" w:rsidR="00055013" w:rsidRPr="00055013" w:rsidRDefault="00055013" w:rsidP="00055013">
      <w:pPr>
        <w:spacing w:before="240" w:after="0" w:line="276" w:lineRule="auto"/>
        <w:rPr>
          <w:rFonts w:ascii="Aptos" w:eastAsia="Aptos" w:hAnsi="Aptos" w:cs="Times New Roman"/>
          <w:sz w:val="20"/>
          <w:szCs w:val="20"/>
        </w:rPr>
      </w:pPr>
      <w:r w:rsidRPr="00055013">
        <w:rPr>
          <w:rFonts w:ascii="Aptos" w:eastAsia="Aptos" w:hAnsi="Aptos" w:cs="Times New Roman"/>
          <w:sz w:val="20"/>
          <w:szCs w:val="20"/>
        </w:rPr>
        <w:t>These insights can support more effective risk-based pricing strategies, customer segmentation, and preventive healthcare initiatives within the insurance industry.</w:t>
      </w:r>
    </w:p>
    <w:p w14:paraId="14A50EEF" w14:textId="302B9224" w:rsidR="00724AF9" w:rsidRPr="00724AF9" w:rsidRDefault="00724AF9" w:rsidP="00724AF9">
      <w:pPr>
        <w:spacing w:before="240" w:after="0" w:line="276" w:lineRule="auto"/>
        <w:rPr>
          <w:rFonts w:ascii="Aptos" w:eastAsia="Aptos" w:hAnsi="Aptos" w:cs="Times New Roman"/>
          <w:b/>
          <w:bCs/>
          <w:sz w:val="27"/>
          <w:szCs w:val="27"/>
          <w:u w:val="single"/>
        </w:rPr>
      </w:pPr>
      <w:r w:rsidRPr="00724AF9">
        <w:rPr>
          <w:rFonts w:ascii="Aptos" w:eastAsia="Aptos" w:hAnsi="Aptos" w:cs="Times New Roman"/>
          <w:b/>
          <w:bCs/>
          <w:sz w:val="27"/>
          <w:szCs w:val="27"/>
          <w:u w:val="single"/>
        </w:rPr>
        <w:lastRenderedPageBreak/>
        <w:t>Limitations</w:t>
      </w:r>
    </w:p>
    <w:p w14:paraId="46BF9DD9" w14:textId="77777777" w:rsidR="00E846C6" w:rsidRPr="00D35437" w:rsidRDefault="00E846C6" w:rsidP="00D35437">
      <w:pPr>
        <w:pStyle w:val="ListParagraph"/>
        <w:numPr>
          <w:ilvl w:val="0"/>
          <w:numId w:val="32"/>
        </w:numPr>
        <w:spacing w:after="0" w:line="276" w:lineRule="auto"/>
        <w:rPr>
          <w:rFonts w:ascii="Aptos" w:eastAsia="Aptos" w:hAnsi="Aptos" w:cs="Times New Roman"/>
          <w:sz w:val="20"/>
          <w:szCs w:val="20"/>
        </w:rPr>
      </w:pPr>
      <w:r w:rsidRPr="00D35437">
        <w:rPr>
          <w:rFonts w:ascii="Aptos" w:eastAsia="Aptos" w:hAnsi="Aptos" w:cs="Times New Roman"/>
          <w:sz w:val="20"/>
          <w:szCs w:val="20"/>
        </w:rPr>
        <w:t>Absence of claim history and medical condition details</w:t>
      </w:r>
    </w:p>
    <w:p w14:paraId="40177143" w14:textId="77777777" w:rsidR="00E846C6" w:rsidRPr="00D35437" w:rsidRDefault="00E846C6" w:rsidP="00D35437">
      <w:pPr>
        <w:pStyle w:val="ListParagraph"/>
        <w:numPr>
          <w:ilvl w:val="0"/>
          <w:numId w:val="32"/>
        </w:numPr>
        <w:spacing w:after="0" w:line="276" w:lineRule="auto"/>
        <w:rPr>
          <w:rFonts w:ascii="Aptos" w:eastAsia="Aptos" w:hAnsi="Aptos" w:cs="Times New Roman"/>
          <w:sz w:val="20"/>
          <w:szCs w:val="20"/>
        </w:rPr>
      </w:pPr>
      <w:r w:rsidRPr="00D35437">
        <w:rPr>
          <w:rFonts w:ascii="Aptos" w:eastAsia="Aptos" w:hAnsi="Aptos" w:cs="Times New Roman"/>
          <w:sz w:val="20"/>
          <w:szCs w:val="20"/>
        </w:rPr>
        <w:t>No time-based data to analyse trends over multiple years</w:t>
      </w:r>
    </w:p>
    <w:p w14:paraId="5E60F29A" w14:textId="77777777" w:rsidR="00E846C6" w:rsidRPr="00D35437" w:rsidRDefault="00E846C6" w:rsidP="00D35437">
      <w:pPr>
        <w:pStyle w:val="ListParagraph"/>
        <w:numPr>
          <w:ilvl w:val="0"/>
          <w:numId w:val="32"/>
        </w:numPr>
        <w:spacing w:after="0" w:line="276" w:lineRule="auto"/>
        <w:rPr>
          <w:rFonts w:ascii="Aptos" w:eastAsia="Aptos" w:hAnsi="Aptos" w:cs="Times New Roman"/>
          <w:sz w:val="20"/>
          <w:szCs w:val="20"/>
        </w:rPr>
      </w:pPr>
      <w:r w:rsidRPr="00D35437">
        <w:rPr>
          <w:rFonts w:ascii="Aptos" w:eastAsia="Aptos" w:hAnsi="Aptos" w:cs="Times New Roman"/>
          <w:sz w:val="20"/>
          <w:szCs w:val="20"/>
        </w:rPr>
        <w:t>Premium charges treated as static values</w:t>
      </w:r>
    </w:p>
    <w:p w14:paraId="5022294A" w14:textId="77777777" w:rsidR="00D35437" w:rsidRDefault="00E846C6" w:rsidP="00D35437">
      <w:pPr>
        <w:pStyle w:val="ListParagraph"/>
        <w:numPr>
          <w:ilvl w:val="0"/>
          <w:numId w:val="32"/>
        </w:numPr>
        <w:spacing w:after="0" w:line="276" w:lineRule="auto"/>
        <w:rPr>
          <w:rFonts w:ascii="Aptos" w:eastAsia="Aptos" w:hAnsi="Aptos" w:cs="Times New Roman"/>
          <w:sz w:val="20"/>
          <w:szCs w:val="20"/>
        </w:rPr>
      </w:pPr>
      <w:r w:rsidRPr="00D35437">
        <w:rPr>
          <w:rFonts w:ascii="Aptos" w:eastAsia="Aptos" w:hAnsi="Aptos" w:cs="Times New Roman"/>
          <w:sz w:val="20"/>
          <w:szCs w:val="20"/>
        </w:rPr>
        <w:t>Limited external socioeconomic variables</w:t>
      </w:r>
    </w:p>
    <w:p w14:paraId="52C15B11" w14:textId="6AD0322F" w:rsidR="00D35437" w:rsidRPr="00D35437" w:rsidRDefault="00D35437" w:rsidP="00D35437">
      <w:pPr>
        <w:pStyle w:val="ListParagraph"/>
        <w:numPr>
          <w:ilvl w:val="0"/>
          <w:numId w:val="32"/>
        </w:numPr>
        <w:spacing w:after="0" w:line="276" w:lineRule="auto"/>
        <w:rPr>
          <w:rFonts w:ascii="Aptos" w:eastAsia="Aptos" w:hAnsi="Aptos" w:cs="Times New Roman"/>
          <w:sz w:val="20"/>
          <w:szCs w:val="20"/>
        </w:rPr>
      </w:pPr>
      <w:r w:rsidRPr="00D35437">
        <w:rPr>
          <w:rFonts w:ascii="Aptos" w:eastAsia="Aptos" w:hAnsi="Aptos" w:cs="Times New Roman"/>
          <w:sz w:val="20"/>
          <w:szCs w:val="20"/>
        </w:rPr>
        <w:t>While SQL was extended to calculate median and outlier statistics, additional distributional analysis and validation were performed in Tableau to support dashboard development and exploratory analysis.</w:t>
      </w:r>
      <w:r w:rsidRPr="00D35437">
        <w:rPr>
          <w:rFonts w:ascii="Aptos" w:eastAsia="Aptos" w:hAnsi="Aptos" w:cs="Times New Roman"/>
          <w:b/>
          <w:bCs/>
          <w:sz w:val="20"/>
          <w:szCs w:val="20"/>
          <w:u w:val="single"/>
        </w:rPr>
        <w:t xml:space="preserve"> </w:t>
      </w:r>
    </w:p>
    <w:p w14:paraId="1A159FEC" w14:textId="3BB2BB1F" w:rsidR="00724AF9" w:rsidRPr="00D35437" w:rsidRDefault="00724AF9" w:rsidP="009B453C">
      <w:pPr>
        <w:spacing w:before="240" w:after="0" w:line="276" w:lineRule="auto"/>
        <w:rPr>
          <w:rFonts w:ascii="Aptos" w:eastAsia="Aptos" w:hAnsi="Aptos" w:cs="Times New Roman"/>
          <w:b/>
          <w:bCs/>
          <w:sz w:val="27"/>
          <w:szCs w:val="27"/>
          <w:u w:val="single"/>
        </w:rPr>
      </w:pPr>
      <w:r w:rsidRPr="00D35437">
        <w:rPr>
          <w:rFonts w:ascii="Aptos" w:eastAsia="Aptos" w:hAnsi="Aptos" w:cs="Times New Roman"/>
          <w:b/>
          <w:bCs/>
          <w:sz w:val="27"/>
          <w:szCs w:val="27"/>
          <w:u w:val="single"/>
        </w:rPr>
        <w:t>Future Work</w:t>
      </w:r>
    </w:p>
    <w:p w14:paraId="4EDB01CF" w14:textId="3849A6D8" w:rsidR="009B453C" w:rsidRPr="009B453C" w:rsidRDefault="009B453C" w:rsidP="009B453C">
      <w:pPr>
        <w:pStyle w:val="ListParagraph"/>
        <w:numPr>
          <w:ilvl w:val="0"/>
          <w:numId w:val="38"/>
        </w:numPr>
        <w:spacing w:after="0" w:line="276" w:lineRule="auto"/>
        <w:rPr>
          <w:rFonts w:ascii="Aptos" w:eastAsia="Aptos" w:hAnsi="Aptos" w:cs="Times New Roman"/>
          <w:sz w:val="20"/>
          <w:szCs w:val="20"/>
        </w:rPr>
      </w:pPr>
      <w:r w:rsidRPr="009B453C">
        <w:rPr>
          <w:rFonts w:ascii="Aptos" w:eastAsia="Aptos" w:hAnsi="Aptos" w:cs="Times New Roman"/>
          <w:sz w:val="20"/>
          <w:szCs w:val="20"/>
        </w:rPr>
        <w:t>Build predictive models to estimate insurance charges using demographic and lifestyle factors.</w:t>
      </w:r>
    </w:p>
    <w:p w14:paraId="42E130B9" w14:textId="1267548B" w:rsidR="009B453C" w:rsidRPr="009B453C" w:rsidRDefault="009B453C" w:rsidP="009B453C">
      <w:pPr>
        <w:pStyle w:val="ListParagraph"/>
        <w:numPr>
          <w:ilvl w:val="0"/>
          <w:numId w:val="38"/>
        </w:numPr>
        <w:spacing w:after="0" w:line="276" w:lineRule="auto"/>
        <w:rPr>
          <w:rFonts w:ascii="Aptos" w:eastAsia="Aptos" w:hAnsi="Aptos" w:cs="Times New Roman"/>
          <w:sz w:val="20"/>
          <w:szCs w:val="20"/>
        </w:rPr>
      </w:pPr>
      <w:r w:rsidRPr="009B453C">
        <w:rPr>
          <w:rFonts w:ascii="Aptos" w:eastAsia="Aptos" w:hAnsi="Aptos" w:cs="Times New Roman"/>
          <w:sz w:val="20"/>
          <w:szCs w:val="20"/>
        </w:rPr>
        <w:t>Incorporate claim history, claim frequency, and claim severity data for more comprehensive risk assessment.</w:t>
      </w:r>
    </w:p>
    <w:p w14:paraId="541710D5" w14:textId="1FE2CC18" w:rsidR="009B453C" w:rsidRPr="009B453C" w:rsidRDefault="009B453C" w:rsidP="009B453C">
      <w:pPr>
        <w:pStyle w:val="ListParagraph"/>
        <w:numPr>
          <w:ilvl w:val="0"/>
          <w:numId w:val="38"/>
        </w:numPr>
        <w:spacing w:after="0" w:line="276" w:lineRule="auto"/>
        <w:rPr>
          <w:rFonts w:ascii="Aptos" w:eastAsia="Aptos" w:hAnsi="Aptos" w:cs="Times New Roman"/>
          <w:sz w:val="20"/>
          <w:szCs w:val="20"/>
        </w:rPr>
      </w:pPr>
      <w:r w:rsidRPr="009B453C">
        <w:rPr>
          <w:rFonts w:ascii="Aptos" w:eastAsia="Aptos" w:hAnsi="Aptos" w:cs="Times New Roman"/>
          <w:sz w:val="20"/>
          <w:szCs w:val="20"/>
        </w:rPr>
        <w:t>Perform customer segmentation using clustering techniques to identify distinct risk profiles.</w:t>
      </w:r>
    </w:p>
    <w:p w14:paraId="13ED9D3D" w14:textId="549CE9D1" w:rsidR="009B453C" w:rsidRPr="009B453C" w:rsidRDefault="009B453C" w:rsidP="009B453C">
      <w:pPr>
        <w:pStyle w:val="ListParagraph"/>
        <w:numPr>
          <w:ilvl w:val="0"/>
          <w:numId w:val="38"/>
        </w:numPr>
        <w:spacing w:after="0" w:line="276" w:lineRule="auto"/>
        <w:rPr>
          <w:rFonts w:ascii="Aptos" w:eastAsia="Aptos" w:hAnsi="Aptos" w:cs="Times New Roman"/>
          <w:sz w:val="20"/>
          <w:szCs w:val="20"/>
        </w:rPr>
      </w:pPr>
      <w:r w:rsidRPr="009B453C">
        <w:rPr>
          <w:rFonts w:ascii="Aptos" w:eastAsia="Aptos" w:hAnsi="Aptos" w:cs="Times New Roman"/>
          <w:sz w:val="20"/>
          <w:szCs w:val="20"/>
        </w:rPr>
        <w:t>Extend the analysis using Python and machine learning models.</w:t>
      </w:r>
    </w:p>
    <w:p w14:paraId="1DB5E92E" w14:textId="53FA6122" w:rsidR="009B453C" w:rsidRPr="009B453C" w:rsidRDefault="009B453C" w:rsidP="009B453C">
      <w:pPr>
        <w:pStyle w:val="ListParagraph"/>
        <w:numPr>
          <w:ilvl w:val="0"/>
          <w:numId w:val="38"/>
        </w:numPr>
        <w:spacing w:after="0" w:line="276" w:lineRule="auto"/>
        <w:rPr>
          <w:rFonts w:ascii="Aptos" w:eastAsia="Aptos" w:hAnsi="Aptos" w:cs="Times New Roman"/>
          <w:sz w:val="20"/>
          <w:szCs w:val="20"/>
        </w:rPr>
      </w:pPr>
      <w:r w:rsidRPr="009B453C">
        <w:rPr>
          <w:rFonts w:ascii="Aptos" w:eastAsia="Aptos" w:hAnsi="Aptos" w:cs="Times New Roman"/>
          <w:sz w:val="20"/>
          <w:szCs w:val="20"/>
        </w:rPr>
        <w:t>Align SQL and Tableau BMI category boundaries to ensure complete consistency across analytical outputs.</w:t>
      </w:r>
    </w:p>
    <w:p w14:paraId="656BE030" w14:textId="32ED3F20" w:rsidR="009B453C" w:rsidRPr="009B453C" w:rsidRDefault="009B453C" w:rsidP="009B453C">
      <w:pPr>
        <w:pStyle w:val="ListParagraph"/>
        <w:numPr>
          <w:ilvl w:val="0"/>
          <w:numId w:val="38"/>
        </w:numPr>
        <w:spacing w:after="0" w:line="276" w:lineRule="auto"/>
        <w:rPr>
          <w:rFonts w:ascii="Aptos" w:eastAsia="Aptos" w:hAnsi="Aptos" w:cs="Times New Roman"/>
          <w:sz w:val="20"/>
          <w:szCs w:val="20"/>
        </w:rPr>
      </w:pPr>
      <w:r w:rsidRPr="009B453C">
        <w:rPr>
          <w:rFonts w:ascii="Aptos" w:eastAsia="Aptos" w:hAnsi="Aptos" w:cs="Times New Roman"/>
          <w:sz w:val="20"/>
          <w:szCs w:val="20"/>
        </w:rPr>
        <w:t>Expand the SQL analysis to include percentile distributions, variance measures, and advanced risk-segmentation metrics.</w:t>
      </w:r>
    </w:p>
    <w:p w14:paraId="5DD220A5" w14:textId="2714D63E" w:rsidR="00724AF9" w:rsidRPr="00724AF9" w:rsidRDefault="00724AF9" w:rsidP="009B453C">
      <w:pPr>
        <w:spacing w:before="240" w:after="0" w:line="276" w:lineRule="auto"/>
        <w:rPr>
          <w:rFonts w:ascii="Aptos" w:eastAsia="Aptos" w:hAnsi="Aptos" w:cs="Times New Roman"/>
          <w:b/>
          <w:bCs/>
          <w:sz w:val="27"/>
          <w:szCs w:val="27"/>
          <w:u w:val="single"/>
        </w:rPr>
      </w:pPr>
      <w:r w:rsidRPr="00724AF9">
        <w:rPr>
          <w:rFonts w:ascii="Aptos" w:eastAsia="Aptos" w:hAnsi="Aptos" w:cs="Times New Roman"/>
          <w:b/>
          <w:bCs/>
          <w:sz w:val="27"/>
          <w:szCs w:val="27"/>
          <w:u w:val="single"/>
        </w:rPr>
        <w:t>Tableau Public Link</w:t>
      </w:r>
    </w:p>
    <w:p w14:paraId="613B441D" w14:textId="77777777" w:rsidR="00724AF9" w:rsidRPr="00724AF9" w:rsidRDefault="00724AF9" w:rsidP="00724AF9">
      <w:pPr>
        <w:spacing w:after="0" w:line="276" w:lineRule="auto"/>
        <w:rPr>
          <w:rFonts w:ascii="Aptos" w:eastAsia="Aptos" w:hAnsi="Aptos" w:cs="Times New Roman"/>
          <w:sz w:val="20"/>
          <w:szCs w:val="20"/>
        </w:rPr>
      </w:pPr>
      <w:r w:rsidRPr="00724AF9">
        <w:rPr>
          <w:rFonts w:ascii="Aptos" w:eastAsia="Aptos" w:hAnsi="Aptos" w:cs="Times New Roman"/>
          <w:sz w:val="20"/>
          <w:szCs w:val="20"/>
        </w:rPr>
        <w:t xml:space="preserve">The interactive Dashboards accompany this report, allowing exploration of </w:t>
      </w:r>
    </w:p>
    <w:p w14:paraId="1F9D72BB" w14:textId="3DA29BA2" w:rsidR="0029763D" w:rsidRPr="00505963" w:rsidRDefault="002704CB" w:rsidP="00505963">
      <w:pPr>
        <w:spacing w:after="0"/>
        <w:rPr>
          <w:sz w:val="19"/>
          <w:szCs w:val="19"/>
        </w:rPr>
      </w:pPr>
      <w:hyperlink r:id="rId8" w:history="1">
        <w:r w:rsidRPr="00505963">
          <w:rPr>
            <w:rStyle w:val="Hyperlink"/>
            <w:sz w:val="19"/>
            <w:szCs w:val="19"/>
          </w:rPr>
          <w:t>https://public.tableau.com/app/profile/saiba.sifat/viz/InsuranceCharges1_17881567884900/Dashboard1</w:t>
        </w:r>
      </w:hyperlink>
      <w:r w:rsidRPr="00505963">
        <w:rPr>
          <w:sz w:val="19"/>
          <w:szCs w:val="19"/>
        </w:rPr>
        <w:t xml:space="preserve"> </w:t>
      </w:r>
    </w:p>
    <w:p w14:paraId="3B1D2684" w14:textId="739E03CB" w:rsidR="001277EF" w:rsidRPr="00505963" w:rsidRDefault="001277EF" w:rsidP="00505963">
      <w:pPr>
        <w:spacing w:after="0"/>
        <w:rPr>
          <w:sz w:val="19"/>
          <w:szCs w:val="19"/>
        </w:rPr>
      </w:pPr>
      <w:hyperlink r:id="rId9" w:history="1">
        <w:r w:rsidRPr="00505963">
          <w:rPr>
            <w:rStyle w:val="Hyperlink"/>
            <w:sz w:val="19"/>
            <w:szCs w:val="19"/>
          </w:rPr>
          <w:t>https://public.tableau.com/app/profile/saiba.sifat/viz/InsuranceCharges2/Dashboard2</w:t>
        </w:r>
      </w:hyperlink>
      <w:r w:rsidRPr="00505963">
        <w:rPr>
          <w:sz w:val="19"/>
          <w:szCs w:val="19"/>
        </w:rPr>
        <w:t xml:space="preserve"> </w:t>
      </w:r>
    </w:p>
    <w:p w14:paraId="52B640FC" w14:textId="6E46AA0D" w:rsidR="00A243C6" w:rsidRPr="00505963" w:rsidRDefault="00A243C6" w:rsidP="00505963">
      <w:pPr>
        <w:spacing w:after="0"/>
        <w:rPr>
          <w:sz w:val="19"/>
          <w:szCs w:val="19"/>
        </w:rPr>
      </w:pPr>
      <w:hyperlink r:id="rId10" w:history="1">
        <w:r w:rsidRPr="00505963">
          <w:rPr>
            <w:rStyle w:val="Hyperlink"/>
            <w:sz w:val="19"/>
            <w:szCs w:val="19"/>
          </w:rPr>
          <w:t>https://public.tableau.com/app/profile/saiba.sifat/viz/InsuranceCharges3/Dashboard3</w:t>
        </w:r>
      </w:hyperlink>
      <w:r w:rsidRPr="00505963">
        <w:rPr>
          <w:sz w:val="19"/>
          <w:szCs w:val="19"/>
        </w:rPr>
        <w:t xml:space="preserve"> </w:t>
      </w:r>
    </w:p>
    <w:sectPr w:rsidR="00A243C6" w:rsidRPr="005059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E2A"/>
    <w:multiLevelType w:val="multilevel"/>
    <w:tmpl w:val="414A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B11F0"/>
    <w:multiLevelType w:val="hybridMultilevel"/>
    <w:tmpl w:val="CFA20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F37244"/>
    <w:multiLevelType w:val="hybridMultilevel"/>
    <w:tmpl w:val="C666D9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0AD000A"/>
    <w:multiLevelType w:val="multilevel"/>
    <w:tmpl w:val="534E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76EFA"/>
    <w:multiLevelType w:val="multilevel"/>
    <w:tmpl w:val="7B4A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A352E"/>
    <w:multiLevelType w:val="multilevel"/>
    <w:tmpl w:val="E6D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D0CBE"/>
    <w:multiLevelType w:val="hybridMultilevel"/>
    <w:tmpl w:val="ECB2F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477960"/>
    <w:multiLevelType w:val="hybridMultilevel"/>
    <w:tmpl w:val="36104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207D88"/>
    <w:multiLevelType w:val="hybridMultilevel"/>
    <w:tmpl w:val="543C1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840647"/>
    <w:multiLevelType w:val="multilevel"/>
    <w:tmpl w:val="5CA8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50E45"/>
    <w:multiLevelType w:val="multilevel"/>
    <w:tmpl w:val="3AC4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6140C"/>
    <w:multiLevelType w:val="hybridMultilevel"/>
    <w:tmpl w:val="954E3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181CD2"/>
    <w:multiLevelType w:val="hybridMultilevel"/>
    <w:tmpl w:val="CB74A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A53273"/>
    <w:multiLevelType w:val="multilevel"/>
    <w:tmpl w:val="4754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14A99"/>
    <w:multiLevelType w:val="hybridMultilevel"/>
    <w:tmpl w:val="414ED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CD372C"/>
    <w:multiLevelType w:val="multilevel"/>
    <w:tmpl w:val="A2704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E7902"/>
    <w:multiLevelType w:val="multilevel"/>
    <w:tmpl w:val="07BA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A53BE"/>
    <w:multiLevelType w:val="hybridMultilevel"/>
    <w:tmpl w:val="D2C8D0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BAD7E98"/>
    <w:multiLevelType w:val="hybridMultilevel"/>
    <w:tmpl w:val="AB6A7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8D02D7"/>
    <w:multiLevelType w:val="multilevel"/>
    <w:tmpl w:val="58D2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94A82"/>
    <w:multiLevelType w:val="hybridMultilevel"/>
    <w:tmpl w:val="4B74F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E31B28"/>
    <w:multiLevelType w:val="multilevel"/>
    <w:tmpl w:val="228C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D47E9"/>
    <w:multiLevelType w:val="hybridMultilevel"/>
    <w:tmpl w:val="EB70E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9936B37"/>
    <w:multiLevelType w:val="hybridMultilevel"/>
    <w:tmpl w:val="D7D0F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EC4168"/>
    <w:multiLevelType w:val="multilevel"/>
    <w:tmpl w:val="EEBC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263AE9"/>
    <w:multiLevelType w:val="hybridMultilevel"/>
    <w:tmpl w:val="CC68630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633B87"/>
    <w:multiLevelType w:val="hybridMultilevel"/>
    <w:tmpl w:val="E6108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92D7301"/>
    <w:multiLevelType w:val="hybridMultilevel"/>
    <w:tmpl w:val="9042C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B786FB1"/>
    <w:multiLevelType w:val="hybridMultilevel"/>
    <w:tmpl w:val="65585F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E4A3B71"/>
    <w:multiLevelType w:val="hybridMultilevel"/>
    <w:tmpl w:val="36A26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2672252">
    <w:abstractNumId w:val="27"/>
  </w:num>
  <w:num w:numId="2" w16cid:durableId="36053014">
    <w:abstractNumId w:val="9"/>
  </w:num>
  <w:num w:numId="3" w16cid:durableId="1518304075">
    <w:abstractNumId w:val="18"/>
  </w:num>
  <w:num w:numId="4" w16cid:durableId="1880824950">
    <w:abstractNumId w:val="1"/>
  </w:num>
  <w:num w:numId="5" w16cid:durableId="430666402">
    <w:abstractNumId w:val="19"/>
  </w:num>
  <w:num w:numId="6" w16cid:durableId="379939788">
    <w:abstractNumId w:val="4"/>
  </w:num>
  <w:num w:numId="7" w16cid:durableId="351806413">
    <w:abstractNumId w:val="13"/>
  </w:num>
  <w:num w:numId="8" w16cid:durableId="2082406425">
    <w:abstractNumId w:val="0"/>
  </w:num>
  <w:num w:numId="9" w16cid:durableId="665674794">
    <w:abstractNumId w:val="26"/>
  </w:num>
  <w:num w:numId="10" w16cid:durableId="1980529719">
    <w:abstractNumId w:val="8"/>
  </w:num>
  <w:num w:numId="11" w16cid:durableId="254629354">
    <w:abstractNumId w:val="12"/>
  </w:num>
  <w:num w:numId="12" w16cid:durableId="525951590">
    <w:abstractNumId w:val="15"/>
  </w:num>
  <w:num w:numId="13" w16cid:durableId="1857378342">
    <w:abstractNumId w:val="16"/>
  </w:num>
  <w:num w:numId="14" w16cid:durableId="271400647">
    <w:abstractNumId w:val="5"/>
  </w:num>
  <w:num w:numId="15" w16cid:durableId="2032144892">
    <w:abstractNumId w:val="26"/>
  </w:num>
  <w:num w:numId="16" w16cid:durableId="1297183373">
    <w:abstractNumId w:val="0"/>
  </w:num>
  <w:num w:numId="17" w16cid:durableId="155610009">
    <w:abstractNumId w:val="1"/>
  </w:num>
  <w:num w:numId="18" w16cid:durableId="295529482">
    <w:abstractNumId w:val="19"/>
  </w:num>
  <w:num w:numId="19" w16cid:durableId="801263370">
    <w:abstractNumId w:val="4"/>
  </w:num>
  <w:num w:numId="20" w16cid:durableId="887765049">
    <w:abstractNumId w:val="13"/>
  </w:num>
  <w:num w:numId="21" w16cid:durableId="1760062143">
    <w:abstractNumId w:val="0"/>
  </w:num>
  <w:num w:numId="22" w16cid:durableId="1214191135">
    <w:abstractNumId w:val="26"/>
  </w:num>
  <w:num w:numId="23" w16cid:durableId="2126458456">
    <w:abstractNumId w:val="7"/>
  </w:num>
  <w:num w:numId="24" w16cid:durableId="770276975">
    <w:abstractNumId w:val="17"/>
  </w:num>
  <w:num w:numId="25" w16cid:durableId="1014725232">
    <w:abstractNumId w:val="25"/>
  </w:num>
  <w:num w:numId="26" w16cid:durableId="137260649">
    <w:abstractNumId w:val="29"/>
  </w:num>
  <w:num w:numId="27" w16cid:durableId="1050031689">
    <w:abstractNumId w:val="20"/>
  </w:num>
  <w:num w:numId="28" w16cid:durableId="1931355509">
    <w:abstractNumId w:val="11"/>
  </w:num>
  <w:num w:numId="29" w16cid:durableId="740257474">
    <w:abstractNumId w:val="22"/>
  </w:num>
  <w:num w:numId="30" w16cid:durableId="2045212514">
    <w:abstractNumId w:val="14"/>
  </w:num>
  <w:num w:numId="31" w16cid:durableId="147985892">
    <w:abstractNumId w:val="28"/>
  </w:num>
  <w:num w:numId="32" w16cid:durableId="67118432">
    <w:abstractNumId w:val="2"/>
  </w:num>
  <w:num w:numId="33" w16cid:durableId="61225269">
    <w:abstractNumId w:val="3"/>
  </w:num>
  <w:num w:numId="34" w16cid:durableId="394470830">
    <w:abstractNumId w:val="21"/>
  </w:num>
  <w:num w:numId="35" w16cid:durableId="1436557284">
    <w:abstractNumId w:val="6"/>
  </w:num>
  <w:num w:numId="36" w16cid:durableId="648444410">
    <w:abstractNumId w:val="24"/>
  </w:num>
  <w:num w:numId="37" w16cid:durableId="48693547">
    <w:abstractNumId w:val="10"/>
  </w:num>
  <w:num w:numId="38" w16cid:durableId="15254849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2FF"/>
    <w:rsid w:val="00055013"/>
    <w:rsid w:val="000603F1"/>
    <w:rsid w:val="000670E1"/>
    <w:rsid w:val="000A27E2"/>
    <w:rsid w:val="000F75FB"/>
    <w:rsid w:val="00106213"/>
    <w:rsid w:val="001277EF"/>
    <w:rsid w:val="00131990"/>
    <w:rsid w:val="00141393"/>
    <w:rsid w:val="001451E7"/>
    <w:rsid w:val="001559F7"/>
    <w:rsid w:val="0016368E"/>
    <w:rsid w:val="00193859"/>
    <w:rsid w:val="001B59D4"/>
    <w:rsid w:val="001E1349"/>
    <w:rsid w:val="001F399D"/>
    <w:rsid w:val="00214426"/>
    <w:rsid w:val="0022004D"/>
    <w:rsid w:val="00261D4B"/>
    <w:rsid w:val="00263F45"/>
    <w:rsid w:val="002704CB"/>
    <w:rsid w:val="002752FD"/>
    <w:rsid w:val="00277221"/>
    <w:rsid w:val="0028293D"/>
    <w:rsid w:val="00283C0A"/>
    <w:rsid w:val="00286658"/>
    <w:rsid w:val="002962CC"/>
    <w:rsid w:val="0029763D"/>
    <w:rsid w:val="002B5F13"/>
    <w:rsid w:val="002C5324"/>
    <w:rsid w:val="00312429"/>
    <w:rsid w:val="00312D6C"/>
    <w:rsid w:val="003361C9"/>
    <w:rsid w:val="00345855"/>
    <w:rsid w:val="003477BB"/>
    <w:rsid w:val="003C398E"/>
    <w:rsid w:val="003C5B61"/>
    <w:rsid w:val="003C7114"/>
    <w:rsid w:val="003F5B13"/>
    <w:rsid w:val="003F65CF"/>
    <w:rsid w:val="004225FA"/>
    <w:rsid w:val="00427B50"/>
    <w:rsid w:val="004609F7"/>
    <w:rsid w:val="004674D0"/>
    <w:rsid w:val="00481911"/>
    <w:rsid w:val="00483D69"/>
    <w:rsid w:val="004875AC"/>
    <w:rsid w:val="00491C21"/>
    <w:rsid w:val="004B2FBD"/>
    <w:rsid w:val="004C07FE"/>
    <w:rsid w:val="004F0DE3"/>
    <w:rsid w:val="00505963"/>
    <w:rsid w:val="0052305B"/>
    <w:rsid w:val="005268F5"/>
    <w:rsid w:val="00546893"/>
    <w:rsid w:val="00554B77"/>
    <w:rsid w:val="00592207"/>
    <w:rsid w:val="00595025"/>
    <w:rsid w:val="005A4330"/>
    <w:rsid w:val="005C6CA9"/>
    <w:rsid w:val="005E5FCC"/>
    <w:rsid w:val="00603DE1"/>
    <w:rsid w:val="0061170D"/>
    <w:rsid w:val="0066371A"/>
    <w:rsid w:val="006972FF"/>
    <w:rsid w:val="006C2025"/>
    <w:rsid w:val="00724AF9"/>
    <w:rsid w:val="00767B45"/>
    <w:rsid w:val="007E524C"/>
    <w:rsid w:val="007F4CD8"/>
    <w:rsid w:val="00835772"/>
    <w:rsid w:val="008371DD"/>
    <w:rsid w:val="00845078"/>
    <w:rsid w:val="0085219D"/>
    <w:rsid w:val="00871B64"/>
    <w:rsid w:val="008756E6"/>
    <w:rsid w:val="008B01A8"/>
    <w:rsid w:val="008D6F57"/>
    <w:rsid w:val="00917F6D"/>
    <w:rsid w:val="009434A1"/>
    <w:rsid w:val="00943C27"/>
    <w:rsid w:val="009446D7"/>
    <w:rsid w:val="0096186B"/>
    <w:rsid w:val="0096753B"/>
    <w:rsid w:val="0097005A"/>
    <w:rsid w:val="009B453C"/>
    <w:rsid w:val="009D3BD6"/>
    <w:rsid w:val="009E71B9"/>
    <w:rsid w:val="00A243C6"/>
    <w:rsid w:val="00A5004C"/>
    <w:rsid w:val="00A71A9F"/>
    <w:rsid w:val="00AB268B"/>
    <w:rsid w:val="00AB2F95"/>
    <w:rsid w:val="00AE7A12"/>
    <w:rsid w:val="00B034FC"/>
    <w:rsid w:val="00B235D5"/>
    <w:rsid w:val="00BC2333"/>
    <w:rsid w:val="00BC699B"/>
    <w:rsid w:val="00BD6D6A"/>
    <w:rsid w:val="00BF7FA9"/>
    <w:rsid w:val="00C2534E"/>
    <w:rsid w:val="00C33FC6"/>
    <w:rsid w:val="00C42601"/>
    <w:rsid w:val="00C74D8C"/>
    <w:rsid w:val="00CA0B43"/>
    <w:rsid w:val="00CA6B91"/>
    <w:rsid w:val="00CC3BB3"/>
    <w:rsid w:val="00CC5166"/>
    <w:rsid w:val="00CE03BA"/>
    <w:rsid w:val="00CF508F"/>
    <w:rsid w:val="00D04D2C"/>
    <w:rsid w:val="00D16A6D"/>
    <w:rsid w:val="00D35437"/>
    <w:rsid w:val="00DC0A3A"/>
    <w:rsid w:val="00DC2745"/>
    <w:rsid w:val="00DE7EB6"/>
    <w:rsid w:val="00E077EC"/>
    <w:rsid w:val="00E261FC"/>
    <w:rsid w:val="00E72F62"/>
    <w:rsid w:val="00E846C6"/>
    <w:rsid w:val="00F25F64"/>
    <w:rsid w:val="00F525D7"/>
    <w:rsid w:val="00F90A6E"/>
    <w:rsid w:val="00F91D41"/>
    <w:rsid w:val="00FA168F"/>
    <w:rsid w:val="00FD2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56705"/>
  <w15:chartTrackingRefBased/>
  <w15:docId w15:val="{6061DD37-4CE9-46D3-86F6-21243531D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2FF"/>
  </w:style>
  <w:style w:type="paragraph" w:styleId="Heading1">
    <w:name w:val="heading 1"/>
    <w:basedOn w:val="Normal"/>
    <w:next w:val="Normal"/>
    <w:link w:val="Heading1Char"/>
    <w:uiPriority w:val="9"/>
    <w:qFormat/>
    <w:rsid w:val="00697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2FF"/>
    <w:rPr>
      <w:rFonts w:eastAsiaTheme="majorEastAsia" w:cstheme="majorBidi"/>
      <w:color w:val="272727" w:themeColor="text1" w:themeTint="D8"/>
    </w:rPr>
  </w:style>
  <w:style w:type="paragraph" w:styleId="Title">
    <w:name w:val="Title"/>
    <w:basedOn w:val="Normal"/>
    <w:next w:val="Normal"/>
    <w:link w:val="TitleChar"/>
    <w:uiPriority w:val="10"/>
    <w:qFormat/>
    <w:rsid w:val="00697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2FF"/>
    <w:pPr>
      <w:spacing w:before="160"/>
      <w:jc w:val="center"/>
    </w:pPr>
    <w:rPr>
      <w:i/>
      <w:iCs/>
      <w:color w:val="404040" w:themeColor="text1" w:themeTint="BF"/>
    </w:rPr>
  </w:style>
  <w:style w:type="character" w:customStyle="1" w:styleId="QuoteChar">
    <w:name w:val="Quote Char"/>
    <w:basedOn w:val="DefaultParagraphFont"/>
    <w:link w:val="Quote"/>
    <w:uiPriority w:val="29"/>
    <w:rsid w:val="006972FF"/>
    <w:rPr>
      <w:i/>
      <w:iCs/>
      <w:color w:val="404040" w:themeColor="text1" w:themeTint="BF"/>
    </w:rPr>
  </w:style>
  <w:style w:type="paragraph" w:styleId="ListParagraph">
    <w:name w:val="List Paragraph"/>
    <w:basedOn w:val="Normal"/>
    <w:uiPriority w:val="34"/>
    <w:qFormat/>
    <w:rsid w:val="006972FF"/>
    <w:pPr>
      <w:ind w:left="720"/>
      <w:contextualSpacing/>
    </w:pPr>
  </w:style>
  <w:style w:type="character" w:styleId="IntenseEmphasis">
    <w:name w:val="Intense Emphasis"/>
    <w:basedOn w:val="DefaultParagraphFont"/>
    <w:uiPriority w:val="21"/>
    <w:qFormat/>
    <w:rsid w:val="006972FF"/>
    <w:rPr>
      <w:i/>
      <w:iCs/>
      <w:color w:val="0F4761" w:themeColor="accent1" w:themeShade="BF"/>
    </w:rPr>
  </w:style>
  <w:style w:type="paragraph" w:styleId="IntenseQuote">
    <w:name w:val="Intense Quote"/>
    <w:basedOn w:val="Normal"/>
    <w:next w:val="Normal"/>
    <w:link w:val="IntenseQuoteChar"/>
    <w:uiPriority w:val="30"/>
    <w:qFormat/>
    <w:rsid w:val="00697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2FF"/>
    <w:rPr>
      <w:i/>
      <w:iCs/>
      <w:color w:val="0F4761" w:themeColor="accent1" w:themeShade="BF"/>
    </w:rPr>
  </w:style>
  <w:style w:type="character" w:styleId="IntenseReference">
    <w:name w:val="Intense Reference"/>
    <w:basedOn w:val="DefaultParagraphFont"/>
    <w:uiPriority w:val="32"/>
    <w:qFormat/>
    <w:rsid w:val="006972FF"/>
    <w:rPr>
      <w:b/>
      <w:bCs/>
      <w:smallCaps/>
      <w:color w:val="0F4761" w:themeColor="accent1" w:themeShade="BF"/>
      <w:spacing w:val="5"/>
    </w:rPr>
  </w:style>
  <w:style w:type="character" w:styleId="Hyperlink">
    <w:name w:val="Hyperlink"/>
    <w:basedOn w:val="DefaultParagraphFont"/>
    <w:uiPriority w:val="99"/>
    <w:unhideWhenUsed/>
    <w:rsid w:val="00BC699B"/>
    <w:rPr>
      <w:color w:val="467886" w:themeColor="hyperlink"/>
      <w:u w:val="single"/>
    </w:rPr>
  </w:style>
  <w:style w:type="character" w:styleId="UnresolvedMention">
    <w:name w:val="Unresolved Mention"/>
    <w:basedOn w:val="DefaultParagraphFont"/>
    <w:uiPriority w:val="99"/>
    <w:semiHidden/>
    <w:unhideWhenUsed/>
    <w:rsid w:val="00BC69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saiba.sifat/viz/InsuranceCharges1_17881567884900/Dashboard1"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public.tableau.com/app/profile/saiba.sifat/viz/InsuranceCharges3/Dashboard3" TargetMode="External"/><Relationship Id="rId4" Type="http://schemas.openxmlformats.org/officeDocument/2006/relationships/webSettings" Target="webSettings.xml"/><Relationship Id="rId9" Type="http://schemas.openxmlformats.org/officeDocument/2006/relationships/hyperlink" Target="https://public.tableau.com/app/profile/saiba.sifat/viz/InsuranceCharges2/Dashboard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569</TotalTime>
  <Pages>5</Pages>
  <Words>1258</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Saiba Sifat</dc:creator>
  <cp:keywords/>
  <dc:description/>
  <cp:lastModifiedBy>Saiba Sifat</cp:lastModifiedBy>
  <cp:revision>117</cp:revision>
  <dcterms:created xsi:type="dcterms:W3CDTF">2025-12-13T06:35:00Z</dcterms:created>
  <dcterms:modified xsi:type="dcterms:W3CDTF">2026-08-31T11:10:00Z</dcterms:modified>
</cp:coreProperties>
</file>