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454" w:rsidRDefault="000B3454" w:rsidP="000B3454">
      <w:pPr>
        <w:jc w:val="center"/>
        <w:rPr>
          <w:rFonts w:ascii="Arial Narrow" w:hAnsi="Arial Narrow" w:cs="Arial"/>
          <w:b/>
          <w:bCs/>
          <w:sz w:val="36"/>
          <w:szCs w:val="32"/>
          <w:lang w:val="en-IN"/>
        </w:rPr>
      </w:pPr>
      <w:r>
        <w:rPr>
          <w:rFonts w:ascii="Arial Narrow" w:hAnsi="Arial Narrow" w:cs="Arial"/>
          <w:b/>
          <w:bCs/>
          <w:sz w:val="36"/>
          <w:szCs w:val="32"/>
          <w:lang w:val="en-IN"/>
        </w:rPr>
        <w:t>Process Engineering</w:t>
      </w:r>
      <w:r w:rsidRPr="000E164A">
        <w:rPr>
          <w:rFonts w:ascii="Arial Narrow" w:hAnsi="Arial Narrow" w:cs="Arial"/>
          <w:b/>
          <w:bCs/>
          <w:sz w:val="36"/>
          <w:szCs w:val="32"/>
          <w:lang w:val="en-IN"/>
        </w:rPr>
        <w:t xml:space="preserve"> for </w:t>
      </w:r>
      <w:r>
        <w:rPr>
          <w:rFonts w:ascii="Arial Narrow" w:hAnsi="Arial Narrow" w:cs="Arial"/>
          <w:b/>
          <w:bCs/>
          <w:sz w:val="36"/>
          <w:szCs w:val="32"/>
          <w:lang w:val="en-IN"/>
        </w:rPr>
        <w:t xml:space="preserve">Production of </w:t>
      </w:r>
      <w:proofErr w:type="spellStart"/>
      <w:r>
        <w:rPr>
          <w:rFonts w:ascii="Arial Narrow" w:hAnsi="Arial Narrow" w:cs="Arial"/>
          <w:b/>
          <w:bCs/>
          <w:sz w:val="36"/>
          <w:szCs w:val="32"/>
          <w:lang w:val="en-IN"/>
        </w:rPr>
        <w:t>Microalgal</w:t>
      </w:r>
      <w:proofErr w:type="spellEnd"/>
      <w:r>
        <w:rPr>
          <w:rFonts w:ascii="Arial Narrow" w:hAnsi="Arial Narrow" w:cs="Arial"/>
          <w:b/>
          <w:bCs/>
          <w:sz w:val="36"/>
          <w:szCs w:val="32"/>
          <w:lang w:val="en-IN"/>
        </w:rPr>
        <w:t xml:space="preserve"> Biomass with Higher Productivity</w:t>
      </w:r>
    </w:p>
    <w:p w:rsidR="000B3454" w:rsidRDefault="000B3454" w:rsidP="000B3454">
      <w:pPr>
        <w:jc w:val="center"/>
        <w:rPr>
          <w:rFonts w:ascii="Arial Narrow" w:hAnsi="Arial Narrow" w:cs="Arial"/>
          <w:b/>
          <w:bCs/>
          <w:sz w:val="36"/>
          <w:szCs w:val="32"/>
          <w:lang w:val="en-IN"/>
        </w:rPr>
      </w:pPr>
    </w:p>
    <w:p w:rsidR="000B3454" w:rsidRPr="00D42E6B" w:rsidRDefault="000B3454" w:rsidP="000B3454">
      <w:pPr>
        <w:jc w:val="center"/>
        <w:rPr>
          <w:rFonts w:ascii="Arial Narrow" w:hAnsi="Arial Narrow"/>
          <w:sz w:val="24"/>
          <w:szCs w:val="24"/>
        </w:rPr>
      </w:pPr>
      <w:proofErr w:type="spellStart"/>
      <w:r w:rsidRPr="00D42E6B">
        <w:rPr>
          <w:rFonts w:ascii="Arial Narrow" w:hAnsi="Arial Narrow"/>
          <w:sz w:val="24"/>
          <w:szCs w:val="24"/>
        </w:rPr>
        <w:t>Gargi</w:t>
      </w:r>
      <w:proofErr w:type="spellEnd"/>
      <w:r w:rsidRPr="00D42E6B">
        <w:rPr>
          <w:rFonts w:ascii="Arial Narrow" w:hAnsi="Arial Narrow"/>
          <w:sz w:val="24"/>
          <w:szCs w:val="24"/>
        </w:rPr>
        <w:t xml:space="preserve"> </w:t>
      </w:r>
      <w:proofErr w:type="spellStart"/>
      <w:r w:rsidRPr="00D42E6B">
        <w:rPr>
          <w:rFonts w:ascii="Arial Narrow" w:hAnsi="Arial Narrow"/>
          <w:sz w:val="24"/>
          <w:szCs w:val="24"/>
        </w:rPr>
        <w:t>Goswami</w:t>
      </w:r>
      <w:proofErr w:type="spellEnd"/>
    </w:p>
    <w:p w:rsidR="000B3454" w:rsidRPr="008E249C" w:rsidRDefault="000B3454" w:rsidP="000B3454">
      <w:pPr>
        <w:autoSpaceDE w:val="0"/>
        <w:autoSpaceDN w:val="0"/>
        <w:adjustRightInd w:val="0"/>
        <w:spacing w:after="0" w:line="240" w:lineRule="auto"/>
        <w:jc w:val="center"/>
        <w:rPr>
          <w:rFonts w:ascii="Arial Narrow" w:hAnsi="Arial Narrow" w:cs="Arial"/>
          <w:b/>
          <w:bCs/>
          <w:sz w:val="24"/>
          <w:szCs w:val="24"/>
        </w:rPr>
      </w:pPr>
      <w:bookmarkStart w:id="0" w:name="_GoBack"/>
      <w:bookmarkEnd w:id="0"/>
    </w:p>
    <w:p w:rsidR="000B3454" w:rsidRDefault="000B3454" w:rsidP="000B3454">
      <w:pPr>
        <w:pStyle w:val="ListParagraph"/>
        <w:spacing w:after="160"/>
        <w:contextualSpacing/>
        <w:jc w:val="both"/>
        <w:rPr>
          <w:rFonts w:ascii="Arial Narrow" w:hAnsi="Arial Narrow"/>
          <w:szCs w:val="24"/>
        </w:rPr>
      </w:pPr>
      <w:r w:rsidRPr="00737520">
        <w:rPr>
          <w:rFonts w:ascii="Arial Narrow" w:hAnsi="Arial Narrow"/>
          <w:szCs w:val="24"/>
        </w:rPr>
        <w:t>Microalgae have gained significant interest as prospective alternative to traditional fuel resources. Presently, microalgae based biofuel production suffers from economical infeasibility</w:t>
      </w:r>
      <w:r>
        <w:rPr>
          <w:rFonts w:ascii="Arial Narrow" w:hAnsi="Arial Narrow"/>
          <w:szCs w:val="24"/>
        </w:rPr>
        <w:t xml:space="preserve"> attributed to</w:t>
      </w:r>
      <w:r w:rsidRPr="00737520">
        <w:rPr>
          <w:rFonts w:ascii="Arial Narrow" w:hAnsi="Arial Narrow"/>
          <w:szCs w:val="24"/>
        </w:rPr>
        <w:t xml:space="preserve"> low biomass titer</w:t>
      </w:r>
      <w:r>
        <w:rPr>
          <w:rFonts w:ascii="Arial Narrow" w:hAnsi="Arial Narrow"/>
          <w:szCs w:val="24"/>
        </w:rPr>
        <w:t xml:space="preserve"> or productivity</w:t>
      </w:r>
      <w:r w:rsidRPr="00737520">
        <w:rPr>
          <w:rFonts w:ascii="Arial Narrow" w:hAnsi="Arial Narrow"/>
          <w:szCs w:val="24"/>
        </w:rPr>
        <w:t xml:space="preserve"> and associated </w:t>
      </w:r>
      <w:r>
        <w:rPr>
          <w:rFonts w:ascii="Arial Narrow" w:hAnsi="Arial Narrow"/>
          <w:szCs w:val="24"/>
        </w:rPr>
        <w:t xml:space="preserve">higher operational &amp; harvesting costs. </w:t>
      </w:r>
      <w:r w:rsidRPr="00737520">
        <w:rPr>
          <w:rFonts w:ascii="Arial Narrow" w:hAnsi="Arial Narrow"/>
          <w:szCs w:val="24"/>
        </w:rPr>
        <w:t>For microalgae to be a viable feedstock for biofuel production, it is therefore requisite to focus current research on achieving</w:t>
      </w:r>
      <w:r>
        <w:rPr>
          <w:rFonts w:ascii="Arial Narrow" w:hAnsi="Arial Narrow"/>
          <w:szCs w:val="24"/>
        </w:rPr>
        <w:t xml:space="preserve"> </w:t>
      </w:r>
      <w:r w:rsidRPr="00737520">
        <w:rPr>
          <w:rFonts w:ascii="Arial Narrow" w:hAnsi="Arial Narrow"/>
          <w:szCs w:val="24"/>
        </w:rPr>
        <w:t>high biomass yield or productivity and avoiding overconsumption</w:t>
      </w:r>
      <w:r>
        <w:rPr>
          <w:rFonts w:ascii="Arial Narrow" w:hAnsi="Arial Narrow"/>
          <w:szCs w:val="24"/>
        </w:rPr>
        <w:t xml:space="preserve"> </w:t>
      </w:r>
      <w:r w:rsidRPr="00737520">
        <w:rPr>
          <w:rFonts w:ascii="Arial Narrow" w:hAnsi="Arial Narrow"/>
          <w:szCs w:val="24"/>
        </w:rPr>
        <w:t>of nutrients.</w:t>
      </w:r>
      <w:r>
        <w:rPr>
          <w:rFonts w:ascii="Arial Narrow" w:hAnsi="Arial Narrow"/>
          <w:szCs w:val="24"/>
        </w:rPr>
        <w:t xml:space="preserve"> </w:t>
      </w:r>
      <w:r w:rsidRPr="00737520">
        <w:rPr>
          <w:rFonts w:ascii="Arial Narrow" w:hAnsi="Arial Narrow"/>
          <w:szCs w:val="24"/>
        </w:rPr>
        <w:t>In the present study, we have demonstrated</w:t>
      </w:r>
      <w:r>
        <w:rPr>
          <w:rFonts w:ascii="Arial Narrow" w:hAnsi="Arial Narrow"/>
          <w:szCs w:val="24"/>
        </w:rPr>
        <w:t xml:space="preserve"> </w:t>
      </w:r>
      <w:r w:rsidRPr="00737520">
        <w:rPr>
          <w:rFonts w:ascii="Arial Narrow" w:hAnsi="Arial Narrow"/>
          <w:szCs w:val="24"/>
        </w:rPr>
        <w:t>a process engineering strategy for high cell</w:t>
      </w:r>
      <w:r>
        <w:rPr>
          <w:rFonts w:ascii="Arial Narrow" w:hAnsi="Arial Narrow"/>
          <w:szCs w:val="24"/>
        </w:rPr>
        <w:t xml:space="preserve"> density cultivation </w:t>
      </w:r>
      <w:r w:rsidRPr="00737520">
        <w:rPr>
          <w:rFonts w:ascii="Arial Narrow" w:hAnsi="Arial Narrow"/>
          <w:szCs w:val="24"/>
        </w:rPr>
        <w:t xml:space="preserve">of the strain </w:t>
      </w:r>
      <w:r w:rsidRPr="00737520">
        <w:rPr>
          <w:rFonts w:ascii="Arial Narrow" w:hAnsi="Arial Narrow"/>
          <w:i/>
          <w:szCs w:val="24"/>
        </w:rPr>
        <w:t>Chlorella</w:t>
      </w:r>
      <w:r w:rsidRPr="00737520">
        <w:rPr>
          <w:rFonts w:ascii="Arial Narrow" w:hAnsi="Arial Narrow"/>
          <w:szCs w:val="24"/>
        </w:rPr>
        <w:t xml:space="preserve"> sp. FC2 IITG</w:t>
      </w:r>
      <w:r>
        <w:rPr>
          <w:rFonts w:ascii="Arial Narrow" w:hAnsi="Arial Narrow"/>
          <w:szCs w:val="24"/>
        </w:rPr>
        <w:t xml:space="preserve"> with higher biomass productivity</w:t>
      </w:r>
      <w:r w:rsidRPr="00737520">
        <w:rPr>
          <w:rFonts w:ascii="Arial Narrow" w:hAnsi="Arial Narrow"/>
          <w:szCs w:val="24"/>
        </w:rPr>
        <w:t xml:space="preserve"> under </w:t>
      </w:r>
      <w:r>
        <w:rPr>
          <w:rFonts w:ascii="Arial Narrow" w:hAnsi="Arial Narrow"/>
          <w:szCs w:val="24"/>
        </w:rPr>
        <w:t>photoautotrophic</w:t>
      </w:r>
      <w:r w:rsidRPr="00737520">
        <w:rPr>
          <w:rFonts w:ascii="Arial Narrow" w:hAnsi="Arial Narrow"/>
          <w:szCs w:val="24"/>
        </w:rPr>
        <w:t xml:space="preserve"> condition. The strategy</w:t>
      </w:r>
      <w:r>
        <w:rPr>
          <w:rFonts w:ascii="Arial Narrow" w:hAnsi="Arial Narrow"/>
          <w:szCs w:val="24"/>
        </w:rPr>
        <w:t xml:space="preserve"> involves </w:t>
      </w:r>
      <w:r w:rsidRPr="00737520">
        <w:rPr>
          <w:rFonts w:ascii="Arial Narrow" w:hAnsi="Arial Narrow"/>
          <w:szCs w:val="24"/>
        </w:rPr>
        <w:t xml:space="preserve">optimization of </w:t>
      </w:r>
      <w:r>
        <w:rPr>
          <w:rFonts w:ascii="Arial Narrow" w:hAnsi="Arial Narrow"/>
          <w:szCs w:val="24"/>
        </w:rPr>
        <w:t>CO</w:t>
      </w:r>
      <w:r w:rsidRPr="0002556D">
        <w:rPr>
          <w:rFonts w:ascii="Arial Narrow" w:hAnsi="Arial Narrow"/>
          <w:szCs w:val="24"/>
          <w:vertAlign w:val="subscript"/>
        </w:rPr>
        <w:t>2</w:t>
      </w:r>
      <w:r>
        <w:rPr>
          <w:rFonts w:ascii="Arial Narrow" w:hAnsi="Arial Narrow"/>
          <w:szCs w:val="24"/>
        </w:rPr>
        <w:t xml:space="preserve"> concentration in the inlet gas stream &amp; its flow rate, </w:t>
      </w:r>
      <w:r w:rsidRPr="00737520">
        <w:rPr>
          <w:rFonts w:ascii="Arial Narrow" w:hAnsi="Arial Narrow"/>
          <w:szCs w:val="24"/>
        </w:rPr>
        <w:t>intermittent feeding of the limiting nutrients</w:t>
      </w:r>
      <w:r>
        <w:rPr>
          <w:rFonts w:ascii="Arial Narrow" w:hAnsi="Arial Narrow"/>
          <w:szCs w:val="24"/>
        </w:rPr>
        <w:t xml:space="preserve"> (phosphate and trace elements) based on experimentally designed correlation and</w:t>
      </w:r>
      <w:r w:rsidRPr="00737520">
        <w:rPr>
          <w:rFonts w:ascii="Arial Narrow" w:hAnsi="Arial Narrow"/>
          <w:szCs w:val="24"/>
        </w:rPr>
        <w:t xml:space="preserve"> </w:t>
      </w:r>
      <w:r>
        <w:rPr>
          <w:rFonts w:ascii="Arial Narrow" w:hAnsi="Arial Narrow"/>
          <w:szCs w:val="24"/>
        </w:rPr>
        <w:t xml:space="preserve">dynamic change in light intensity to maintain a predefined specific growth rate. </w:t>
      </w:r>
      <w:r w:rsidRPr="0002556D">
        <w:rPr>
          <w:rFonts w:ascii="Arial Narrow" w:hAnsi="Arial Narrow"/>
          <w:szCs w:val="24"/>
        </w:rPr>
        <w:t>The process</w:t>
      </w:r>
      <w:r>
        <w:rPr>
          <w:rFonts w:ascii="Arial Narrow" w:hAnsi="Arial Narrow"/>
          <w:szCs w:val="24"/>
        </w:rPr>
        <w:t xml:space="preserve"> engineering strategy has enabled the cells to access the nutrients at their respective optimal concentration range during the entire period of cultivation. Hence, the cells are able to grow at their maximum specific growth rate for prolonged duration as opposed to the uncontrolled batch thereby, resulting in higher biomass productivity. </w:t>
      </w:r>
      <w:r w:rsidRPr="005F6DA7">
        <w:rPr>
          <w:rFonts w:ascii="Arial Narrow" w:hAnsi="Arial Narrow"/>
          <w:szCs w:val="24"/>
        </w:rPr>
        <w:t>The process strategy also opens</w:t>
      </w:r>
      <w:r>
        <w:rPr>
          <w:rFonts w:ascii="Arial Narrow" w:hAnsi="Arial Narrow"/>
          <w:szCs w:val="24"/>
        </w:rPr>
        <w:t xml:space="preserve"> </w:t>
      </w:r>
      <w:r w:rsidRPr="005F6DA7">
        <w:rPr>
          <w:rFonts w:ascii="Arial Narrow" w:hAnsi="Arial Narrow"/>
          <w:szCs w:val="24"/>
        </w:rPr>
        <w:t>up scope for further economic feasibility analysis and scale up for large</w:t>
      </w:r>
      <w:r>
        <w:rPr>
          <w:rFonts w:ascii="Arial Narrow" w:hAnsi="Arial Narrow"/>
          <w:szCs w:val="24"/>
        </w:rPr>
        <w:t>-scale</w:t>
      </w:r>
      <w:r w:rsidRPr="005F6DA7">
        <w:rPr>
          <w:rFonts w:ascii="Arial Narrow" w:hAnsi="Arial Narrow"/>
          <w:szCs w:val="24"/>
        </w:rPr>
        <w:t xml:space="preserve"> commercial applications.</w:t>
      </w:r>
      <w:r>
        <w:rPr>
          <w:rFonts w:ascii="Arial Narrow" w:hAnsi="Arial Narrow"/>
          <w:szCs w:val="24"/>
        </w:rPr>
        <w:t xml:space="preserve"> </w:t>
      </w:r>
    </w:p>
    <w:p w:rsidR="004D5D3D" w:rsidRDefault="000B3454"/>
    <w:sectPr w:rsidR="004D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454"/>
    <w:rsid w:val="000B3454"/>
    <w:rsid w:val="005015EB"/>
    <w:rsid w:val="00AA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54"/>
    <w:pPr>
      <w:suppressAutoHyphens/>
      <w:spacing w:after="0" w:line="240" w:lineRule="auto"/>
      <w:ind w:left="720"/>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54"/>
    <w:pPr>
      <w:suppressAutoHyphens/>
      <w:spacing w:after="0" w:line="240" w:lineRule="auto"/>
      <w:ind w:left="72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1</cp:revision>
  <dcterms:created xsi:type="dcterms:W3CDTF">2019-04-07T05:21:00Z</dcterms:created>
  <dcterms:modified xsi:type="dcterms:W3CDTF">2019-04-07T05:22:00Z</dcterms:modified>
</cp:coreProperties>
</file>