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DA646" w14:textId="77777777" w:rsidR="009E28A1" w:rsidRPr="009E28A1" w:rsidRDefault="009E28A1" w:rsidP="009E28A1">
      <w:pPr>
        <w:rPr>
          <w:b/>
          <w:bCs/>
          <w:sz w:val="44"/>
          <w:szCs w:val="44"/>
        </w:rPr>
      </w:pPr>
      <w:r w:rsidRPr="009E28A1">
        <w:rPr>
          <w:b/>
          <w:bCs/>
          <w:sz w:val="44"/>
          <w:szCs w:val="44"/>
        </w:rPr>
        <w:t>Equity Analysis Report: NVIDIA Corporation (NVDA)</w:t>
      </w:r>
    </w:p>
    <w:p w14:paraId="7A00BA65" w14:textId="46F50667" w:rsidR="009E28A1" w:rsidRPr="009E28A1" w:rsidRDefault="009E28A1" w:rsidP="009E28A1">
      <w:pPr>
        <w:rPr>
          <w:sz w:val="28"/>
        </w:rPr>
      </w:pPr>
      <w:r w:rsidRPr="009E28A1">
        <w:rPr>
          <w:sz w:val="28"/>
        </w:rPr>
        <w:t>Fundamental and Technical Analysis of NVDA</w:t>
      </w:r>
    </w:p>
    <w:p w14:paraId="45AA6E51" w14:textId="77777777" w:rsidR="009E28A1" w:rsidRDefault="009E28A1" w:rsidP="009E28A1">
      <w:pPr>
        <w:rPr>
          <w:b/>
          <w:bCs/>
        </w:rPr>
      </w:pPr>
    </w:p>
    <w:p w14:paraId="4AE5A6AD" w14:textId="77777777" w:rsidR="005960D9" w:rsidRDefault="005960D9" w:rsidP="009E28A1">
      <w:pPr>
        <w:rPr>
          <w:b/>
          <w:bCs/>
        </w:rPr>
      </w:pPr>
    </w:p>
    <w:p w14:paraId="08FBB546" w14:textId="6A25C2AE" w:rsidR="009E28A1" w:rsidRPr="009E28A1" w:rsidRDefault="009E28A1" w:rsidP="009E28A1">
      <w:pPr>
        <w:rPr>
          <w:b/>
          <w:bCs/>
          <w:sz w:val="36"/>
        </w:rPr>
      </w:pPr>
      <w:r w:rsidRPr="009E28A1">
        <w:rPr>
          <w:b/>
          <w:bCs/>
          <w:sz w:val="36"/>
        </w:rPr>
        <w:t>1. Company Selection</w:t>
      </w:r>
    </w:p>
    <w:p w14:paraId="598F5110" w14:textId="3B68C313" w:rsidR="009E28A1" w:rsidRPr="003B4605" w:rsidRDefault="009E28A1" w:rsidP="009E28A1">
      <w:r w:rsidRPr="009E28A1">
        <w:t xml:space="preserve">For this analysis, I have selected </w:t>
      </w:r>
      <w:r w:rsidRPr="009E28A1">
        <w:rPr>
          <w:b/>
          <w:bCs/>
        </w:rPr>
        <w:t>NVIDIA Corporation</w:t>
      </w:r>
      <w:r w:rsidRPr="009E28A1">
        <w:t xml:space="preserve">, as it currently represents the </w:t>
      </w:r>
      <w:r w:rsidRPr="009E28A1">
        <w:t>epicentre</w:t>
      </w:r>
      <w:r w:rsidRPr="009E28A1">
        <w:t xml:space="preserve"> of the generative AI shift. Given the volatility and rapid growth of the semiconductor industry, NVIDIA provides an excellent case study for </w:t>
      </w:r>
      <w:r w:rsidRPr="009E28A1">
        <w:t>analysing</w:t>
      </w:r>
      <w:r w:rsidRPr="009E28A1">
        <w:t xml:space="preserve"> how explosive revenue growth translates into stock price action</w:t>
      </w:r>
      <w:r w:rsidR="003B4605">
        <w:t xml:space="preserve">. </w:t>
      </w:r>
      <w:r w:rsidR="003B4605" w:rsidRPr="003B4605">
        <w:t>I chose NVIDIA not just because of the hype, but because I wanted to see if the profit margins actually justified the stock price—and they actually do.</w:t>
      </w:r>
      <w:r w:rsidR="003B4605" w:rsidRPr="003B4605">
        <w:t xml:space="preserve"> </w:t>
      </w:r>
    </w:p>
    <w:p w14:paraId="37059A0A" w14:textId="77777777" w:rsidR="005960D9" w:rsidRDefault="005960D9" w:rsidP="009E28A1">
      <w:pPr>
        <w:rPr>
          <w:b/>
          <w:bCs/>
        </w:rPr>
      </w:pPr>
    </w:p>
    <w:p w14:paraId="3E3E99DF" w14:textId="77777777" w:rsidR="00560C8D" w:rsidRDefault="00560C8D" w:rsidP="009E28A1">
      <w:pPr>
        <w:rPr>
          <w:b/>
          <w:bCs/>
        </w:rPr>
      </w:pPr>
    </w:p>
    <w:p w14:paraId="4F3DB721" w14:textId="6FBDA5D2" w:rsidR="009E28A1" w:rsidRPr="009E28A1" w:rsidRDefault="009E28A1" w:rsidP="009E28A1">
      <w:pPr>
        <w:rPr>
          <w:b/>
          <w:bCs/>
          <w:sz w:val="36"/>
        </w:rPr>
      </w:pPr>
      <w:r w:rsidRPr="009E28A1">
        <w:rPr>
          <w:b/>
          <w:bCs/>
          <w:sz w:val="36"/>
        </w:rPr>
        <w:t>2. Financial Performance Analysis</w:t>
      </w:r>
    </w:p>
    <w:p w14:paraId="0DA73D17" w14:textId="77777777" w:rsidR="009E28A1" w:rsidRPr="009E28A1" w:rsidRDefault="009E28A1" w:rsidP="009E28A1">
      <w:r w:rsidRPr="009E28A1">
        <w:t>The following data is derived from NVIDIA’s latest annual filings. The leap between the last two financial years is one of the most significant in recent corporate history, driven almost entirely by the demand for H100 GPUs.</w:t>
      </w:r>
    </w:p>
    <w:p w14:paraId="63DF557F" w14:textId="77777777" w:rsidR="009E28A1" w:rsidRPr="009E28A1" w:rsidRDefault="009E28A1" w:rsidP="009E28A1">
      <w:pPr>
        <w:rPr>
          <w:sz w:val="28"/>
        </w:rPr>
      </w:pPr>
      <w:r w:rsidRPr="009E28A1">
        <w:rPr>
          <w:b/>
          <w:bCs/>
          <w:sz w:val="28"/>
        </w:rPr>
        <w:t>Table 1: Key Financial Metrics (FY2023 vs FY2024)</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755"/>
        <w:gridCol w:w="2342"/>
        <w:gridCol w:w="2342"/>
        <w:gridCol w:w="2479"/>
      </w:tblGrid>
      <w:tr w:rsidR="009E28A1" w:rsidRPr="009E28A1" w14:paraId="26527EBE" w14:textId="77777777" w:rsidTr="00560C8D">
        <w:trPr>
          <w:trHeight w:val="490"/>
          <w:tblHeader/>
        </w:trPr>
        <w:tc>
          <w:tcPr>
            <w:tcW w:w="0" w:type="auto"/>
            <w:shd w:val="clear" w:color="auto" w:fill="FFFFFF" w:themeFill="background1"/>
            <w:noWrap/>
            <w:tcMar>
              <w:top w:w="120" w:type="dxa"/>
              <w:left w:w="180" w:type="dxa"/>
              <w:bottom w:w="120" w:type="dxa"/>
              <w:right w:w="180" w:type="dxa"/>
            </w:tcMar>
            <w:vAlign w:val="bottom"/>
            <w:hideMark/>
          </w:tcPr>
          <w:p w14:paraId="09DFE78B" w14:textId="77777777" w:rsidR="009E28A1" w:rsidRPr="009E28A1" w:rsidRDefault="009E28A1" w:rsidP="009E28A1">
            <w:pPr>
              <w:rPr>
                <w:b/>
                <w:bCs/>
              </w:rPr>
            </w:pPr>
            <w:r w:rsidRPr="009E28A1">
              <w:rPr>
                <w:b/>
                <w:bCs/>
              </w:rPr>
              <w:t>Metric</w:t>
            </w:r>
          </w:p>
        </w:tc>
        <w:tc>
          <w:tcPr>
            <w:tcW w:w="0" w:type="auto"/>
            <w:shd w:val="clear" w:color="auto" w:fill="FFFFFF" w:themeFill="background1"/>
            <w:noWrap/>
            <w:tcMar>
              <w:top w:w="120" w:type="dxa"/>
              <w:left w:w="180" w:type="dxa"/>
              <w:bottom w:w="120" w:type="dxa"/>
              <w:right w:w="180" w:type="dxa"/>
            </w:tcMar>
            <w:vAlign w:val="bottom"/>
            <w:hideMark/>
          </w:tcPr>
          <w:p w14:paraId="6DC28361" w14:textId="77777777" w:rsidR="009E28A1" w:rsidRPr="009E28A1" w:rsidRDefault="009E28A1" w:rsidP="009E28A1">
            <w:pPr>
              <w:rPr>
                <w:b/>
                <w:bCs/>
              </w:rPr>
            </w:pPr>
            <w:r w:rsidRPr="009E28A1">
              <w:rPr>
                <w:b/>
                <w:bCs/>
              </w:rPr>
              <w:t>FY 2023 (USD)</w:t>
            </w:r>
          </w:p>
        </w:tc>
        <w:tc>
          <w:tcPr>
            <w:tcW w:w="0" w:type="auto"/>
            <w:shd w:val="clear" w:color="auto" w:fill="FFFFFF" w:themeFill="background1"/>
            <w:noWrap/>
            <w:tcMar>
              <w:top w:w="120" w:type="dxa"/>
              <w:left w:w="180" w:type="dxa"/>
              <w:bottom w:w="120" w:type="dxa"/>
              <w:right w:w="180" w:type="dxa"/>
            </w:tcMar>
            <w:vAlign w:val="bottom"/>
            <w:hideMark/>
          </w:tcPr>
          <w:p w14:paraId="5A370FCE" w14:textId="77777777" w:rsidR="009E28A1" w:rsidRPr="009E28A1" w:rsidRDefault="009E28A1" w:rsidP="009E28A1">
            <w:pPr>
              <w:rPr>
                <w:b/>
                <w:bCs/>
              </w:rPr>
            </w:pPr>
            <w:r w:rsidRPr="009E28A1">
              <w:rPr>
                <w:b/>
                <w:bCs/>
              </w:rPr>
              <w:t>FY 2024 (USD)</w:t>
            </w:r>
          </w:p>
        </w:tc>
        <w:tc>
          <w:tcPr>
            <w:tcW w:w="2479" w:type="dxa"/>
            <w:shd w:val="clear" w:color="auto" w:fill="FFFFFF" w:themeFill="background1"/>
            <w:noWrap/>
            <w:tcMar>
              <w:top w:w="120" w:type="dxa"/>
              <w:left w:w="180" w:type="dxa"/>
              <w:bottom w:w="120" w:type="dxa"/>
              <w:right w:w="180" w:type="dxa"/>
            </w:tcMar>
            <w:vAlign w:val="bottom"/>
            <w:hideMark/>
          </w:tcPr>
          <w:p w14:paraId="0D663D83" w14:textId="77777777" w:rsidR="009E28A1" w:rsidRPr="009E28A1" w:rsidRDefault="009E28A1" w:rsidP="009E28A1">
            <w:pPr>
              <w:rPr>
                <w:b/>
                <w:bCs/>
              </w:rPr>
            </w:pPr>
            <w:r w:rsidRPr="009E28A1">
              <w:rPr>
                <w:b/>
                <w:bCs/>
              </w:rPr>
              <w:t>Variance (%)</w:t>
            </w:r>
          </w:p>
        </w:tc>
      </w:tr>
      <w:tr w:rsidR="009E28A1" w:rsidRPr="009E28A1" w14:paraId="787580E6" w14:textId="77777777" w:rsidTr="00560C8D">
        <w:trPr>
          <w:trHeight w:val="490"/>
        </w:trPr>
        <w:tc>
          <w:tcPr>
            <w:tcW w:w="0" w:type="auto"/>
            <w:shd w:val="clear" w:color="auto" w:fill="FFFFFF" w:themeFill="background1"/>
            <w:tcMar>
              <w:top w:w="120" w:type="dxa"/>
              <w:left w:w="180" w:type="dxa"/>
              <w:bottom w:w="120" w:type="dxa"/>
              <w:right w:w="180" w:type="dxa"/>
            </w:tcMar>
            <w:vAlign w:val="bottom"/>
            <w:hideMark/>
          </w:tcPr>
          <w:p w14:paraId="45D502AF" w14:textId="77777777" w:rsidR="009E28A1" w:rsidRPr="009E28A1" w:rsidRDefault="009E28A1" w:rsidP="009E28A1">
            <w:r w:rsidRPr="009E28A1">
              <w:rPr>
                <w:b/>
                <w:bCs/>
              </w:rPr>
              <w:t>Total Revenue</w:t>
            </w:r>
          </w:p>
        </w:tc>
        <w:tc>
          <w:tcPr>
            <w:tcW w:w="0" w:type="auto"/>
            <w:shd w:val="clear" w:color="auto" w:fill="FFFFFF" w:themeFill="background1"/>
            <w:tcMar>
              <w:top w:w="120" w:type="dxa"/>
              <w:left w:w="180" w:type="dxa"/>
              <w:bottom w:w="120" w:type="dxa"/>
              <w:right w:w="180" w:type="dxa"/>
            </w:tcMar>
            <w:vAlign w:val="bottom"/>
            <w:hideMark/>
          </w:tcPr>
          <w:p w14:paraId="17D4CE3D" w14:textId="77777777" w:rsidR="009E28A1" w:rsidRPr="009E28A1" w:rsidRDefault="009E28A1" w:rsidP="009E28A1">
            <w:r w:rsidRPr="009E28A1">
              <w:t>$26.97 Billion</w:t>
            </w:r>
          </w:p>
        </w:tc>
        <w:tc>
          <w:tcPr>
            <w:tcW w:w="0" w:type="auto"/>
            <w:shd w:val="clear" w:color="auto" w:fill="FFFFFF" w:themeFill="background1"/>
            <w:tcMar>
              <w:top w:w="120" w:type="dxa"/>
              <w:left w:w="180" w:type="dxa"/>
              <w:bottom w:w="120" w:type="dxa"/>
              <w:right w:w="180" w:type="dxa"/>
            </w:tcMar>
            <w:vAlign w:val="bottom"/>
            <w:hideMark/>
          </w:tcPr>
          <w:p w14:paraId="59F8CBC1" w14:textId="77777777" w:rsidR="009E28A1" w:rsidRPr="009E28A1" w:rsidRDefault="009E28A1" w:rsidP="009E28A1">
            <w:r w:rsidRPr="009E28A1">
              <w:t>$60.92 Billion</w:t>
            </w:r>
          </w:p>
        </w:tc>
        <w:tc>
          <w:tcPr>
            <w:tcW w:w="2479" w:type="dxa"/>
            <w:shd w:val="clear" w:color="auto" w:fill="FFFFFF" w:themeFill="background1"/>
            <w:tcMar>
              <w:top w:w="120" w:type="dxa"/>
              <w:left w:w="180" w:type="dxa"/>
              <w:bottom w:w="120" w:type="dxa"/>
              <w:right w:w="180" w:type="dxa"/>
            </w:tcMar>
            <w:vAlign w:val="bottom"/>
            <w:hideMark/>
          </w:tcPr>
          <w:p w14:paraId="38ADA3E6" w14:textId="77777777" w:rsidR="009E28A1" w:rsidRPr="009E28A1" w:rsidRDefault="009E28A1" w:rsidP="009E28A1">
            <w:r w:rsidRPr="009E28A1">
              <w:t>+125.8%</w:t>
            </w:r>
          </w:p>
        </w:tc>
      </w:tr>
      <w:tr w:rsidR="009E28A1" w:rsidRPr="009E28A1" w14:paraId="4AA1E445" w14:textId="77777777" w:rsidTr="00560C8D">
        <w:trPr>
          <w:trHeight w:val="490"/>
        </w:trPr>
        <w:tc>
          <w:tcPr>
            <w:tcW w:w="0" w:type="auto"/>
            <w:shd w:val="clear" w:color="auto" w:fill="FFFFFF" w:themeFill="background1"/>
            <w:tcMar>
              <w:top w:w="120" w:type="dxa"/>
              <w:left w:w="180" w:type="dxa"/>
              <w:bottom w:w="120" w:type="dxa"/>
              <w:right w:w="180" w:type="dxa"/>
            </w:tcMar>
            <w:vAlign w:val="bottom"/>
            <w:hideMark/>
          </w:tcPr>
          <w:p w14:paraId="4EDEE94C" w14:textId="77777777" w:rsidR="009E28A1" w:rsidRPr="009E28A1" w:rsidRDefault="009E28A1" w:rsidP="009E28A1">
            <w:r w:rsidRPr="009E28A1">
              <w:rPr>
                <w:b/>
                <w:bCs/>
              </w:rPr>
              <w:t>Net Profit</w:t>
            </w:r>
          </w:p>
        </w:tc>
        <w:tc>
          <w:tcPr>
            <w:tcW w:w="0" w:type="auto"/>
            <w:shd w:val="clear" w:color="auto" w:fill="FFFFFF" w:themeFill="background1"/>
            <w:tcMar>
              <w:top w:w="120" w:type="dxa"/>
              <w:left w:w="180" w:type="dxa"/>
              <w:bottom w:w="120" w:type="dxa"/>
              <w:right w:w="180" w:type="dxa"/>
            </w:tcMar>
            <w:vAlign w:val="bottom"/>
            <w:hideMark/>
          </w:tcPr>
          <w:p w14:paraId="58A8D842" w14:textId="77777777" w:rsidR="009E28A1" w:rsidRPr="009E28A1" w:rsidRDefault="009E28A1" w:rsidP="009E28A1">
            <w:r w:rsidRPr="009E28A1">
              <w:t>$4.37 Billion</w:t>
            </w:r>
          </w:p>
        </w:tc>
        <w:tc>
          <w:tcPr>
            <w:tcW w:w="0" w:type="auto"/>
            <w:shd w:val="clear" w:color="auto" w:fill="FFFFFF" w:themeFill="background1"/>
            <w:tcMar>
              <w:top w:w="120" w:type="dxa"/>
              <w:left w:w="180" w:type="dxa"/>
              <w:bottom w:w="120" w:type="dxa"/>
              <w:right w:w="180" w:type="dxa"/>
            </w:tcMar>
            <w:vAlign w:val="bottom"/>
            <w:hideMark/>
          </w:tcPr>
          <w:p w14:paraId="607D3909" w14:textId="77777777" w:rsidR="009E28A1" w:rsidRPr="009E28A1" w:rsidRDefault="009E28A1" w:rsidP="009E28A1">
            <w:r w:rsidRPr="009E28A1">
              <w:t>$29.76 Billion</w:t>
            </w:r>
          </w:p>
        </w:tc>
        <w:tc>
          <w:tcPr>
            <w:tcW w:w="2479" w:type="dxa"/>
            <w:shd w:val="clear" w:color="auto" w:fill="FFFFFF" w:themeFill="background1"/>
            <w:tcMar>
              <w:top w:w="120" w:type="dxa"/>
              <w:left w:w="180" w:type="dxa"/>
              <w:bottom w:w="120" w:type="dxa"/>
              <w:right w:w="180" w:type="dxa"/>
            </w:tcMar>
            <w:vAlign w:val="bottom"/>
            <w:hideMark/>
          </w:tcPr>
          <w:p w14:paraId="3F01FF09" w14:textId="77777777" w:rsidR="009E28A1" w:rsidRPr="009E28A1" w:rsidRDefault="009E28A1" w:rsidP="009E28A1">
            <w:r w:rsidRPr="009E28A1">
              <w:t>+581.0%</w:t>
            </w:r>
          </w:p>
        </w:tc>
      </w:tr>
      <w:tr w:rsidR="009E28A1" w:rsidRPr="009E28A1" w14:paraId="64F3223E" w14:textId="77777777" w:rsidTr="00560C8D">
        <w:trPr>
          <w:trHeight w:val="475"/>
        </w:trPr>
        <w:tc>
          <w:tcPr>
            <w:tcW w:w="0" w:type="auto"/>
            <w:shd w:val="clear" w:color="auto" w:fill="FFFFFF" w:themeFill="background1"/>
            <w:tcMar>
              <w:top w:w="120" w:type="dxa"/>
              <w:left w:w="180" w:type="dxa"/>
              <w:bottom w:w="120" w:type="dxa"/>
              <w:right w:w="180" w:type="dxa"/>
            </w:tcMar>
            <w:vAlign w:val="bottom"/>
            <w:hideMark/>
          </w:tcPr>
          <w:p w14:paraId="3FBF0967" w14:textId="77777777" w:rsidR="009E28A1" w:rsidRPr="009E28A1" w:rsidRDefault="009E28A1" w:rsidP="009E28A1">
            <w:r w:rsidRPr="009E28A1">
              <w:rPr>
                <w:b/>
                <w:bCs/>
              </w:rPr>
              <w:t>Net Profit Margin</w:t>
            </w:r>
          </w:p>
        </w:tc>
        <w:tc>
          <w:tcPr>
            <w:tcW w:w="0" w:type="auto"/>
            <w:shd w:val="clear" w:color="auto" w:fill="FFFFFF" w:themeFill="background1"/>
            <w:tcMar>
              <w:top w:w="120" w:type="dxa"/>
              <w:left w:w="180" w:type="dxa"/>
              <w:bottom w:w="120" w:type="dxa"/>
              <w:right w:w="180" w:type="dxa"/>
            </w:tcMar>
            <w:vAlign w:val="bottom"/>
            <w:hideMark/>
          </w:tcPr>
          <w:p w14:paraId="1ED88232" w14:textId="77777777" w:rsidR="009E28A1" w:rsidRPr="009E28A1" w:rsidRDefault="009E28A1" w:rsidP="009E28A1">
            <w:r w:rsidRPr="009E28A1">
              <w:t>16.2%</w:t>
            </w:r>
          </w:p>
        </w:tc>
        <w:tc>
          <w:tcPr>
            <w:tcW w:w="0" w:type="auto"/>
            <w:shd w:val="clear" w:color="auto" w:fill="FFFFFF" w:themeFill="background1"/>
            <w:tcMar>
              <w:top w:w="120" w:type="dxa"/>
              <w:left w:w="180" w:type="dxa"/>
              <w:bottom w:w="120" w:type="dxa"/>
              <w:right w:w="180" w:type="dxa"/>
            </w:tcMar>
            <w:vAlign w:val="bottom"/>
            <w:hideMark/>
          </w:tcPr>
          <w:p w14:paraId="73078078" w14:textId="77777777" w:rsidR="009E28A1" w:rsidRPr="009E28A1" w:rsidRDefault="009E28A1" w:rsidP="009E28A1">
            <w:r w:rsidRPr="009E28A1">
              <w:t>48.8%</w:t>
            </w:r>
          </w:p>
        </w:tc>
        <w:tc>
          <w:tcPr>
            <w:tcW w:w="2479" w:type="dxa"/>
            <w:shd w:val="clear" w:color="auto" w:fill="FFFFFF" w:themeFill="background1"/>
            <w:tcMar>
              <w:top w:w="120" w:type="dxa"/>
              <w:left w:w="180" w:type="dxa"/>
              <w:bottom w:w="120" w:type="dxa"/>
              <w:right w:w="180" w:type="dxa"/>
            </w:tcMar>
            <w:vAlign w:val="bottom"/>
            <w:hideMark/>
          </w:tcPr>
          <w:p w14:paraId="01D8604D" w14:textId="77777777" w:rsidR="009E28A1" w:rsidRPr="009E28A1" w:rsidRDefault="009E28A1" w:rsidP="009E28A1">
            <w:r w:rsidRPr="009E28A1">
              <w:t>+32.6% (Absolute)</w:t>
            </w:r>
          </w:p>
        </w:tc>
      </w:tr>
    </w:tbl>
    <w:p w14:paraId="5B3A8999" w14:textId="77777777" w:rsidR="009E28A1" w:rsidRDefault="009E28A1" w:rsidP="009E28A1">
      <w:pPr>
        <w:rPr>
          <w:b/>
          <w:bCs/>
        </w:rPr>
      </w:pPr>
    </w:p>
    <w:p w14:paraId="2495F0DA" w14:textId="77777777" w:rsidR="005960D9" w:rsidRDefault="005960D9" w:rsidP="009E28A1">
      <w:pPr>
        <w:rPr>
          <w:b/>
          <w:bCs/>
        </w:rPr>
      </w:pPr>
    </w:p>
    <w:p w14:paraId="30E4151B" w14:textId="77777777" w:rsidR="00560C8D" w:rsidRDefault="00560C8D" w:rsidP="009E28A1">
      <w:pPr>
        <w:rPr>
          <w:b/>
          <w:bCs/>
        </w:rPr>
      </w:pPr>
    </w:p>
    <w:p w14:paraId="63218862" w14:textId="77777777" w:rsidR="00560C8D" w:rsidRDefault="00560C8D" w:rsidP="009E28A1">
      <w:pPr>
        <w:rPr>
          <w:b/>
          <w:bCs/>
        </w:rPr>
      </w:pPr>
    </w:p>
    <w:p w14:paraId="5E758E2C" w14:textId="455B50E0" w:rsidR="009E28A1" w:rsidRPr="009E28A1" w:rsidRDefault="009E28A1" w:rsidP="009E28A1">
      <w:pPr>
        <w:rPr>
          <w:b/>
          <w:bCs/>
          <w:sz w:val="36"/>
        </w:rPr>
      </w:pPr>
      <w:r w:rsidRPr="009E28A1">
        <w:rPr>
          <w:b/>
          <w:bCs/>
          <w:sz w:val="36"/>
        </w:rPr>
        <w:t>3. Net Profit Margin Calculation</w:t>
      </w:r>
    </w:p>
    <w:p w14:paraId="5EDC232C" w14:textId="77777777" w:rsidR="009E28A1" w:rsidRPr="009E28A1" w:rsidRDefault="009E28A1" w:rsidP="009E28A1">
      <w:r w:rsidRPr="009E28A1">
        <w:t>The Net Profit Margin is a critical indicator of how much of every dollar earned actually turns into profit after all expenses.</w:t>
      </w:r>
    </w:p>
    <w:p w14:paraId="3E3E2C1F" w14:textId="77777777" w:rsidR="009E28A1" w:rsidRPr="009E28A1" w:rsidRDefault="009E28A1" w:rsidP="009E28A1">
      <w:pPr>
        <w:numPr>
          <w:ilvl w:val="0"/>
          <w:numId w:val="1"/>
        </w:numPr>
      </w:pPr>
      <w:r w:rsidRPr="009E28A1">
        <w:rPr>
          <w:b/>
          <w:bCs/>
          <w:sz w:val="28"/>
        </w:rPr>
        <w:t>FY 2023 Calculation:</w:t>
      </w:r>
      <w:r w:rsidRPr="009E28A1">
        <w:t xml:space="preserve"> $($4.37\text{B} / $26.97\text{B}) \times 100 = \</w:t>
      </w:r>
      <w:proofErr w:type="spellStart"/>
      <w:proofErr w:type="gramStart"/>
      <w:r w:rsidRPr="009E28A1">
        <w:t>mathbf</w:t>
      </w:r>
      <w:proofErr w:type="spellEnd"/>
      <w:r w:rsidRPr="009E28A1">
        <w:t>{</w:t>
      </w:r>
      <w:proofErr w:type="gramEnd"/>
      <w:r w:rsidRPr="009E28A1">
        <w:t>16.2</w:t>
      </w:r>
      <w:proofErr w:type="gramStart"/>
      <w:r w:rsidRPr="009E28A1">
        <w:t>%}$</w:t>
      </w:r>
      <w:proofErr w:type="gramEnd"/>
    </w:p>
    <w:p w14:paraId="722F72A2" w14:textId="77777777" w:rsidR="009E28A1" w:rsidRDefault="009E28A1" w:rsidP="009E28A1">
      <w:pPr>
        <w:numPr>
          <w:ilvl w:val="0"/>
          <w:numId w:val="1"/>
        </w:numPr>
      </w:pPr>
      <w:r w:rsidRPr="009E28A1">
        <w:rPr>
          <w:b/>
          <w:bCs/>
          <w:sz w:val="28"/>
        </w:rPr>
        <w:t>FY 2024 Calculation:</w:t>
      </w:r>
      <w:r w:rsidRPr="009E28A1">
        <w:t xml:space="preserve"> $($29.76\text{B} / $60.92\text{B}) \times 100 = \</w:t>
      </w:r>
      <w:proofErr w:type="spellStart"/>
      <w:proofErr w:type="gramStart"/>
      <w:r w:rsidRPr="009E28A1">
        <w:t>mathbf</w:t>
      </w:r>
      <w:proofErr w:type="spellEnd"/>
      <w:r w:rsidRPr="009E28A1">
        <w:t>{</w:t>
      </w:r>
      <w:proofErr w:type="gramEnd"/>
      <w:r w:rsidRPr="009E28A1">
        <w:t>48.8</w:t>
      </w:r>
      <w:proofErr w:type="gramStart"/>
      <w:r w:rsidRPr="009E28A1">
        <w:t>%}$</w:t>
      </w:r>
      <w:proofErr w:type="gramEnd"/>
    </w:p>
    <w:p w14:paraId="214D94BC" w14:textId="77777777" w:rsidR="009E28A1" w:rsidRPr="009E28A1" w:rsidRDefault="009E28A1" w:rsidP="009E28A1">
      <w:r w:rsidRPr="009E28A1">
        <w:rPr>
          <w:b/>
          <w:bCs/>
          <w:sz w:val="28"/>
        </w:rPr>
        <w:t>Observation:</w:t>
      </w:r>
      <w:r w:rsidRPr="009E28A1">
        <w:t xml:space="preserve"> A jump from 16% to nearly 49% is extraordinary. This suggests that NVIDIA hasn't just increased its sales volume, but has gained massive "pricing power," allowing them to charge a premium for their AI chips while keeping operational costs relatively stable.</w:t>
      </w:r>
    </w:p>
    <w:p w14:paraId="352331B7" w14:textId="3250C904" w:rsidR="00792612" w:rsidRDefault="00792612"/>
    <w:p w14:paraId="6B6D8D67" w14:textId="77777777" w:rsidR="005960D9" w:rsidRDefault="005960D9"/>
    <w:p w14:paraId="0A10B03C" w14:textId="1FD8165D" w:rsidR="009E28A1" w:rsidRDefault="002726E0">
      <w:pPr>
        <w:rPr>
          <w:b/>
          <w:bCs/>
          <w:sz w:val="36"/>
        </w:rPr>
      </w:pPr>
      <w:r w:rsidRPr="002726E0">
        <w:rPr>
          <w:b/>
          <w:bCs/>
          <w:sz w:val="36"/>
        </w:rPr>
        <w:t>4. Technical Analysis (Stock Chart)</w:t>
      </w:r>
    </w:p>
    <w:p w14:paraId="5FB49C39" w14:textId="6DDC277F" w:rsidR="007A588E" w:rsidRPr="00177EB2" w:rsidRDefault="00BA6687" w:rsidP="002726E0">
      <w:pPr>
        <w:rPr>
          <w:b/>
          <w:bCs/>
          <w:sz w:val="36"/>
        </w:rPr>
      </w:pPr>
      <w:r>
        <w:rPr>
          <w:noProof/>
        </w:rPr>
        <w:drawing>
          <wp:inline distT="0" distB="0" distL="0" distR="0" wp14:anchorId="7C2C5D8B" wp14:editId="0208412C">
            <wp:extent cx="6524625" cy="3905250"/>
            <wp:effectExtent l="0" t="0" r="9525" b="0"/>
            <wp:docPr id="359027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24625" cy="3905250"/>
                    </a:xfrm>
                    <a:prstGeom prst="rect">
                      <a:avLst/>
                    </a:prstGeom>
                    <a:noFill/>
                    <a:ln>
                      <a:noFill/>
                    </a:ln>
                  </pic:spPr>
                </pic:pic>
              </a:graphicData>
            </a:graphic>
          </wp:inline>
        </w:drawing>
      </w:r>
    </w:p>
    <w:p w14:paraId="06F15A93" w14:textId="306CF9B7" w:rsidR="002726E0" w:rsidRPr="002726E0" w:rsidRDefault="002726E0" w:rsidP="002726E0">
      <w:r w:rsidRPr="002726E0">
        <w:rPr>
          <w:b/>
          <w:bCs/>
          <w:sz w:val="32"/>
        </w:rPr>
        <w:lastRenderedPageBreak/>
        <w:t>A. Trend Identification:</w:t>
      </w:r>
      <w:r w:rsidRPr="002726E0">
        <w:t xml:space="preserve"> The primary trend for NVDA is </w:t>
      </w:r>
      <w:r w:rsidRPr="002726E0">
        <w:rPr>
          <w:b/>
          <w:bCs/>
        </w:rPr>
        <w:t>Strongly Bullish</w:t>
      </w:r>
      <w:r w:rsidRPr="002726E0">
        <w:t>. On the weekly and daily timeframes, the stock is consistently making "Higher Highs" and "Higher Lows." Despite short-term corrections, the trajectory remains steeply upward, driven by quarterly earnings beats.</w:t>
      </w:r>
    </w:p>
    <w:p w14:paraId="742C79C3" w14:textId="2B31FAD0" w:rsidR="002726E0" w:rsidRPr="002726E0" w:rsidRDefault="002726E0" w:rsidP="002726E0">
      <w:pPr>
        <w:rPr>
          <w:sz w:val="32"/>
        </w:rPr>
      </w:pPr>
      <w:r w:rsidRPr="002726E0">
        <w:rPr>
          <w:b/>
          <w:bCs/>
          <w:sz w:val="32"/>
        </w:rPr>
        <w:t>B. Key Levels</w:t>
      </w:r>
      <w:r w:rsidRPr="006B1A92">
        <w:rPr>
          <w:b/>
          <w:bCs/>
          <w:sz w:val="32"/>
        </w:rPr>
        <w:t xml:space="preserve"> (marked on the chart above):</w:t>
      </w:r>
    </w:p>
    <w:p w14:paraId="69482F2A" w14:textId="77777777" w:rsidR="002726E0" w:rsidRPr="002726E0" w:rsidRDefault="002726E0" w:rsidP="002726E0">
      <w:pPr>
        <w:numPr>
          <w:ilvl w:val="0"/>
          <w:numId w:val="2"/>
        </w:numPr>
      </w:pPr>
      <w:r w:rsidRPr="002726E0">
        <w:rPr>
          <w:b/>
          <w:bCs/>
          <w:sz w:val="28"/>
        </w:rPr>
        <w:t>Support Level:</w:t>
      </w:r>
      <w:r w:rsidRPr="002726E0">
        <w:t xml:space="preserve"> I have identified a strong support zone around the </w:t>
      </w:r>
      <w:r w:rsidRPr="002726E0">
        <w:rPr>
          <w:b/>
          <w:bCs/>
        </w:rPr>
        <w:t>$850 - $900</w:t>
      </w:r>
      <w:r w:rsidRPr="002726E0">
        <w:t xml:space="preserve"> range (pre-split adjusted) or </w:t>
      </w:r>
      <w:r w:rsidRPr="002726E0">
        <w:rPr>
          <w:b/>
          <w:bCs/>
        </w:rPr>
        <w:t>$85 - $90</w:t>
      </w:r>
      <w:r w:rsidRPr="002726E0">
        <w:t xml:space="preserve"> (post-split). This is where buyers historically step in to prevent further declines.</w:t>
      </w:r>
    </w:p>
    <w:p w14:paraId="11464BE2" w14:textId="77777777" w:rsidR="002726E0" w:rsidRPr="002726E0" w:rsidRDefault="002726E0" w:rsidP="002726E0">
      <w:pPr>
        <w:numPr>
          <w:ilvl w:val="0"/>
          <w:numId w:val="2"/>
        </w:numPr>
      </w:pPr>
      <w:r w:rsidRPr="002726E0">
        <w:rPr>
          <w:b/>
          <w:bCs/>
          <w:sz w:val="28"/>
        </w:rPr>
        <w:t>Resistance Level:</w:t>
      </w:r>
      <w:r w:rsidRPr="002726E0">
        <w:t xml:space="preserve"> The immediate resistance is sitting at the </w:t>
      </w:r>
      <w:r w:rsidRPr="002726E0">
        <w:rPr>
          <w:b/>
          <w:bCs/>
        </w:rPr>
        <w:t>$1,200 - $1,250</w:t>
      </w:r>
      <w:r w:rsidRPr="002726E0">
        <w:t xml:space="preserve"> range (pre-split) or </w:t>
      </w:r>
      <w:r w:rsidRPr="002726E0">
        <w:rPr>
          <w:b/>
          <w:bCs/>
        </w:rPr>
        <w:t>$120 - $125</w:t>
      </w:r>
      <w:r w:rsidRPr="002726E0">
        <w:t xml:space="preserve"> (post-split). This is the "ceiling" where selling pressure has increased recently.</w:t>
      </w:r>
    </w:p>
    <w:p w14:paraId="50D9C69C" w14:textId="77777777" w:rsidR="002726E0" w:rsidRPr="002726E0" w:rsidRDefault="002726E0" w:rsidP="002726E0">
      <w:r w:rsidRPr="002726E0">
        <w:rPr>
          <w:b/>
          <w:bCs/>
          <w:sz w:val="32"/>
        </w:rPr>
        <w:t>C. Chart Pattern:</w:t>
      </w:r>
      <w:r w:rsidRPr="002726E0">
        <w:t xml:space="preserve"> The stock recently exhibited a </w:t>
      </w:r>
      <w:r w:rsidRPr="002726E0">
        <w:rPr>
          <w:b/>
          <w:bCs/>
        </w:rPr>
        <w:t>"Bull Flag"</w:t>
      </w:r>
      <w:r w:rsidRPr="002726E0">
        <w:t xml:space="preserve"> pattern. After a massive vertical rally, the price entered a tight, downward-sloping consolidation channel. This is typically a continuation pattern, suggesting that the stock was simply "resting" before its next leg upward.</w:t>
      </w:r>
    </w:p>
    <w:p w14:paraId="12EC50C9" w14:textId="77777777" w:rsidR="006B1A92" w:rsidRDefault="006B1A92"/>
    <w:p w14:paraId="7EC19284" w14:textId="77777777" w:rsidR="00560C8D" w:rsidRDefault="00560C8D"/>
    <w:p w14:paraId="36C890C1" w14:textId="77777777" w:rsidR="002726E0" w:rsidRPr="002726E0" w:rsidRDefault="002726E0" w:rsidP="002726E0">
      <w:pPr>
        <w:rPr>
          <w:b/>
          <w:bCs/>
          <w:sz w:val="36"/>
        </w:rPr>
      </w:pPr>
      <w:r w:rsidRPr="002726E0">
        <w:rPr>
          <w:b/>
          <w:bCs/>
          <w:sz w:val="36"/>
        </w:rPr>
        <w:t>5. Strategic Conclusion</w:t>
      </w:r>
    </w:p>
    <w:p w14:paraId="4765FEF3" w14:textId="77777777" w:rsidR="002726E0" w:rsidRPr="002726E0" w:rsidRDefault="002726E0" w:rsidP="002726E0">
      <w:r w:rsidRPr="002726E0">
        <w:t>Looking at the synergy between the financials and the chart, NVIDIA is in a rare position of "fundamental-technical alignment."</w:t>
      </w:r>
    </w:p>
    <w:p w14:paraId="2EF28B04" w14:textId="77777777" w:rsidR="002726E0" w:rsidRPr="002726E0" w:rsidRDefault="002726E0" w:rsidP="002726E0">
      <w:r w:rsidRPr="002726E0">
        <w:t>Usually, when a stock price rises this sharply, it becomes "overvalued" (the price grows faster than the profit). However, NVIDIA’s net profit grew by over 580% in one year, which justifies the aggressive rally seen on the price chart.</w:t>
      </w:r>
    </w:p>
    <w:p w14:paraId="29CBF105" w14:textId="77777777" w:rsidR="002726E0" w:rsidRPr="002726E0" w:rsidRDefault="002726E0" w:rsidP="002726E0">
      <w:r w:rsidRPr="002726E0">
        <w:t>The expansion of the net profit margin to 48.8% is the most impressive statistic here; it shows the company is operating with extreme efficiency. While the stock is currently testing resistance levels, the underlying financial health suggests that as long as AI infrastructure spending remains high, the bullish trend is likely to persist. From a strategic standpoint, any dip toward the support level would be viewed by the market as a buying opportunity rather than a reversal.</w:t>
      </w:r>
    </w:p>
    <w:p w14:paraId="6ADA9342" w14:textId="3A671B0E" w:rsidR="002726E0" w:rsidRPr="002726E0" w:rsidRDefault="002726E0"/>
    <w:sectPr w:rsidR="002726E0" w:rsidRPr="00272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7D07"/>
    <w:multiLevelType w:val="multilevel"/>
    <w:tmpl w:val="A94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C206BA"/>
    <w:multiLevelType w:val="multilevel"/>
    <w:tmpl w:val="7856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8054739">
    <w:abstractNumId w:val="0"/>
  </w:num>
  <w:num w:numId="2" w16cid:durableId="1389257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8A1"/>
    <w:rsid w:val="001248A7"/>
    <w:rsid w:val="00177EB2"/>
    <w:rsid w:val="002726E0"/>
    <w:rsid w:val="003208A8"/>
    <w:rsid w:val="003B4605"/>
    <w:rsid w:val="00560C8D"/>
    <w:rsid w:val="005960D9"/>
    <w:rsid w:val="006B1A92"/>
    <w:rsid w:val="00792612"/>
    <w:rsid w:val="007A588E"/>
    <w:rsid w:val="00855445"/>
    <w:rsid w:val="009E28A1"/>
    <w:rsid w:val="00B2402A"/>
    <w:rsid w:val="00BA6687"/>
    <w:rsid w:val="00D6554C"/>
    <w:rsid w:val="00DC6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8A00F"/>
  <w15:chartTrackingRefBased/>
  <w15:docId w15:val="{A5041E32-1DDA-419E-9EF1-424AA024B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2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2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8A1"/>
    <w:rPr>
      <w:rFonts w:eastAsiaTheme="majorEastAsia" w:cstheme="majorBidi"/>
      <w:color w:val="272727" w:themeColor="text1" w:themeTint="D8"/>
    </w:rPr>
  </w:style>
  <w:style w:type="paragraph" w:styleId="Title">
    <w:name w:val="Title"/>
    <w:basedOn w:val="Normal"/>
    <w:next w:val="Normal"/>
    <w:link w:val="TitleChar"/>
    <w:uiPriority w:val="10"/>
    <w:qFormat/>
    <w:rsid w:val="009E2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8A1"/>
    <w:pPr>
      <w:spacing w:before="160"/>
      <w:jc w:val="center"/>
    </w:pPr>
    <w:rPr>
      <w:i/>
      <w:iCs/>
      <w:color w:val="404040" w:themeColor="text1" w:themeTint="BF"/>
    </w:rPr>
  </w:style>
  <w:style w:type="character" w:customStyle="1" w:styleId="QuoteChar">
    <w:name w:val="Quote Char"/>
    <w:basedOn w:val="DefaultParagraphFont"/>
    <w:link w:val="Quote"/>
    <w:uiPriority w:val="29"/>
    <w:rsid w:val="009E28A1"/>
    <w:rPr>
      <w:i/>
      <w:iCs/>
      <w:color w:val="404040" w:themeColor="text1" w:themeTint="BF"/>
    </w:rPr>
  </w:style>
  <w:style w:type="paragraph" w:styleId="ListParagraph">
    <w:name w:val="List Paragraph"/>
    <w:basedOn w:val="Normal"/>
    <w:uiPriority w:val="34"/>
    <w:qFormat/>
    <w:rsid w:val="009E28A1"/>
    <w:pPr>
      <w:ind w:left="720"/>
      <w:contextualSpacing/>
    </w:pPr>
  </w:style>
  <w:style w:type="character" w:styleId="IntenseEmphasis">
    <w:name w:val="Intense Emphasis"/>
    <w:basedOn w:val="DefaultParagraphFont"/>
    <w:uiPriority w:val="21"/>
    <w:qFormat/>
    <w:rsid w:val="009E28A1"/>
    <w:rPr>
      <w:i/>
      <w:iCs/>
      <w:color w:val="0F4761" w:themeColor="accent1" w:themeShade="BF"/>
    </w:rPr>
  </w:style>
  <w:style w:type="paragraph" w:styleId="IntenseQuote">
    <w:name w:val="Intense Quote"/>
    <w:basedOn w:val="Normal"/>
    <w:next w:val="Normal"/>
    <w:link w:val="IntenseQuoteChar"/>
    <w:uiPriority w:val="30"/>
    <w:qFormat/>
    <w:rsid w:val="009E2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8A1"/>
    <w:rPr>
      <w:i/>
      <w:iCs/>
      <w:color w:val="0F4761" w:themeColor="accent1" w:themeShade="BF"/>
    </w:rPr>
  </w:style>
  <w:style w:type="character" w:styleId="IntenseReference">
    <w:name w:val="Intense Reference"/>
    <w:basedOn w:val="DefaultParagraphFont"/>
    <w:uiPriority w:val="32"/>
    <w:qFormat/>
    <w:rsid w:val="009E2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51816">
      <w:bodyDiv w:val="1"/>
      <w:marLeft w:val="0"/>
      <w:marRight w:val="0"/>
      <w:marTop w:val="0"/>
      <w:marBottom w:val="0"/>
      <w:divBdr>
        <w:top w:val="none" w:sz="0" w:space="0" w:color="auto"/>
        <w:left w:val="none" w:sz="0" w:space="0" w:color="auto"/>
        <w:bottom w:val="none" w:sz="0" w:space="0" w:color="auto"/>
        <w:right w:val="none" w:sz="0" w:space="0" w:color="auto"/>
      </w:divBdr>
    </w:div>
    <w:div w:id="609316222">
      <w:bodyDiv w:val="1"/>
      <w:marLeft w:val="0"/>
      <w:marRight w:val="0"/>
      <w:marTop w:val="0"/>
      <w:marBottom w:val="0"/>
      <w:divBdr>
        <w:top w:val="none" w:sz="0" w:space="0" w:color="auto"/>
        <w:left w:val="none" w:sz="0" w:space="0" w:color="auto"/>
        <w:bottom w:val="none" w:sz="0" w:space="0" w:color="auto"/>
        <w:right w:val="none" w:sz="0" w:space="0" w:color="auto"/>
      </w:divBdr>
      <w:divsChild>
        <w:div w:id="1840847920">
          <w:marLeft w:val="0"/>
          <w:marRight w:val="0"/>
          <w:marTop w:val="0"/>
          <w:marBottom w:val="240"/>
          <w:divBdr>
            <w:top w:val="single" w:sz="2" w:space="0" w:color="auto"/>
            <w:left w:val="single" w:sz="2" w:space="0" w:color="auto"/>
            <w:bottom w:val="single" w:sz="2" w:space="0" w:color="auto"/>
            <w:right w:val="single" w:sz="2" w:space="0" w:color="auto"/>
          </w:divBdr>
        </w:div>
      </w:divsChild>
    </w:div>
    <w:div w:id="875771762">
      <w:bodyDiv w:val="1"/>
      <w:marLeft w:val="0"/>
      <w:marRight w:val="0"/>
      <w:marTop w:val="0"/>
      <w:marBottom w:val="0"/>
      <w:divBdr>
        <w:top w:val="none" w:sz="0" w:space="0" w:color="auto"/>
        <w:left w:val="none" w:sz="0" w:space="0" w:color="auto"/>
        <w:bottom w:val="none" w:sz="0" w:space="0" w:color="auto"/>
        <w:right w:val="none" w:sz="0" w:space="0" w:color="auto"/>
      </w:divBdr>
    </w:div>
    <w:div w:id="1129201894">
      <w:bodyDiv w:val="1"/>
      <w:marLeft w:val="0"/>
      <w:marRight w:val="0"/>
      <w:marTop w:val="0"/>
      <w:marBottom w:val="0"/>
      <w:divBdr>
        <w:top w:val="none" w:sz="0" w:space="0" w:color="auto"/>
        <w:left w:val="none" w:sz="0" w:space="0" w:color="auto"/>
        <w:bottom w:val="none" w:sz="0" w:space="0" w:color="auto"/>
        <w:right w:val="none" w:sz="0" w:space="0" w:color="auto"/>
      </w:divBdr>
    </w:div>
    <w:div w:id="1179538174">
      <w:bodyDiv w:val="1"/>
      <w:marLeft w:val="0"/>
      <w:marRight w:val="0"/>
      <w:marTop w:val="0"/>
      <w:marBottom w:val="0"/>
      <w:divBdr>
        <w:top w:val="none" w:sz="0" w:space="0" w:color="auto"/>
        <w:left w:val="none" w:sz="0" w:space="0" w:color="auto"/>
        <w:bottom w:val="none" w:sz="0" w:space="0" w:color="auto"/>
        <w:right w:val="none" w:sz="0" w:space="0" w:color="auto"/>
      </w:divBdr>
      <w:divsChild>
        <w:div w:id="2016809395">
          <w:marLeft w:val="0"/>
          <w:marRight w:val="0"/>
          <w:marTop w:val="0"/>
          <w:marBottom w:val="240"/>
          <w:divBdr>
            <w:top w:val="single" w:sz="2" w:space="0" w:color="auto"/>
            <w:left w:val="single" w:sz="2" w:space="0" w:color="auto"/>
            <w:bottom w:val="single" w:sz="2" w:space="0" w:color="auto"/>
            <w:right w:val="single" w:sz="2" w:space="0" w:color="auto"/>
          </w:divBdr>
        </w:div>
      </w:divsChild>
    </w:div>
    <w:div w:id="1378431114">
      <w:bodyDiv w:val="1"/>
      <w:marLeft w:val="0"/>
      <w:marRight w:val="0"/>
      <w:marTop w:val="0"/>
      <w:marBottom w:val="0"/>
      <w:divBdr>
        <w:top w:val="none" w:sz="0" w:space="0" w:color="auto"/>
        <w:left w:val="none" w:sz="0" w:space="0" w:color="auto"/>
        <w:bottom w:val="none" w:sz="0" w:space="0" w:color="auto"/>
        <w:right w:val="none" w:sz="0" w:space="0" w:color="auto"/>
      </w:divBdr>
    </w:div>
    <w:div w:id="1538274414">
      <w:bodyDiv w:val="1"/>
      <w:marLeft w:val="0"/>
      <w:marRight w:val="0"/>
      <w:marTop w:val="0"/>
      <w:marBottom w:val="0"/>
      <w:divBdr>
        <w:top w:val="none" w:sz="0" w:space="0" w:color="auto"/>
        <w:left w:val="none" w:sz="0" w:space="0" w:color="auto"/>
        <w:bottom w:val="none" w:sz="0" w:space="0" w:color="auto"/>
        <w:right w:val="none" w:sz="0" w:space="0" w:color="auto"/>
      </w:divBdr>
    </w:div>
    <w:div w:id="1739791499">
      <w:bodyDiv w:val="1"/>
      <w:marLeft w:val="0"/>
      <w:marRight w:val="0"/>
      <w:marTop w:val="0"/>
      <w:marBottom w:val="0"/>
      <w:divBdr>
        <w:top w:val="none" w:sz="0" w:space="0" w:color="auto"/>
        <w:left w:val="none" w:sz="0" w:space="0" w:color="auto"/>
        <w:bottom w:val="none" w:sz="0" w:space="0" w:color="auto"/>
        <w:right w:val="none" w:sz="0" w:space="0" w:color="auto"/>
      </w:divBdr>
    </w:div>
    <w:div w:id="1759059484">
      <w:bodyDiv w:val="1"/>
      <w:marLeft w:val="0"/>
      <w:marRight w:val="0"/>
      <w:marTop w:val="0"/>
      <w:marBottom w:val="0"/>
      <w:divBdr>
        <w:top w:val="none" w:sz="0" w:space="0" w:color="auto"/>
        <w:left w:val="none" w:sz="0" w:space="0" w:color="auto"/>
        <w:bottom w:val="none" w:sz="0" w:space="0" w:color="auto"/>
        <w:right w:val="none" w:sz="0" w:space="0" w:color="auto"/>
      </w:divBdr>
    </w:div>
    <w:div w:id="186551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BRAHMAREDDY</dc:creator>
  <cp:keywords/>
  <dc:description/>
  <cp:lastModifiedBy>BRAHMAREDDY</cp:lastModifiedBy>
  <cp:revision>11</cp:revision>
  <dcterms:created xsi:type="dcterms:W3CDTF">2026-10-16T12:51:00Z</dcterms:created>
  <dcterms:modified xsi:type="dcterms:W3CDTF">2026-10-16T14:00:00Z</dcterms:modified>
</cp:coreProperties>
</file>