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28215" w14:textId="77777777" w:rsidR="00ED10EF" w:rsidRPr="00ED10EF" w:rsidRDefault="00ED10EF" w:rsidP="00ED10EF">
      <w:pPr>
        <w:rPr>
          <w:b/>
          <w:bCs/>
          <w:sz w:val="40"/>
          <w:szCs w:val="40"/>
        </w:rPr>
      </w:pPr>
      <w:r w:rsidRPr="00ED10EF">
        <w:rPr>
          <w:b/>
          <w:bCs/>
          <w:sz w:val="40"/>
          <w:szCs w:val="40"/>
        </w:rPr>
        <w:t>FUNDAMENTAL ANALYSIS OF A LISTED COMPANY USING ITS ANNUAL REPORT</w:t>
      </w:r>
    </w:p>
    <w:p w14:paraId="21F553B2" w14:textId="77777777" w:rsidR="00ED10EF" w:rsidRPr="00ED10EF" w:rsidRDefault="00ED10EF" w:rsidP="00ED10EF">
      <w:pPr>
        <w:rPr>
          <w:b/>
          <w:bCs/>
          <w:sz w:val="36"/>
          <w:szCs w:val="36"/>
        </w:rPr>
      </w:pPr>
      <w:r w:rsidRPr="00ED10EF">
        <w:rPr>
          <w:b/>
          <w:bCs/>
          <w:sz w:val="36"/>
          <w:szCs w:val="36"/>
        </w:rPr>
        <w:t>A Case Study of Reliance Industries Limited</w:t>
      </w:r>
    </w:p>
    <w:p w14:paraId="5B989513" w14:textId="3B05A13C" w:rsidR="00ED10EF" w:rsidRDefault="00ED10EF" w:rsidP="00ED10EF">
      <w:r w:rsidRPr="00ED10EF">
        <w:t>Financial Year 2025–26</w:t>
      </w:r>
    </w:p>
    <w:p w14:paraId="645836E6" w14:textId="77777777" w:rsidR="00ED10EF" w:rsidRPr="00ED10EF" w:rsidRDefault="00ED10EF" w:rsidP="00ED10EF"/>
    <w:p w14:paraId="17E036AF" w14:textId="55130CA6" w:rsidR="00ED10EF" w:rsidRPr="00ED10EF" w:rsidRDefault="00ED10EF" w:rsidP="00ED10EF">
      <w:r w:rsidRPr="00ED10EF">
        <w:rPr>
          <w:b/>
          <w:bCs/>
        </w:rPr>
        <w:t>1. Introduction</w:t>
      </w:r>
    </w:p>
    <w:p w14:paraId="0F9E8848" w14:textId="77777777" w:rsidR="00ED10EF" w:rsidRPr="00ED10EF" w:rsidRDefault="00ED10EF" w:rsidP="00ED10EF">
      <w:r w:rsidRPr="00ED10EF">
        <w:t>Fundamental analysis is a method of evaluating a company's financial position, profitability, efficiency and future prospects by studying its financial statements, annual reports and business operations.</w:t>
      </w:r>
    </w:p>
    <w:p w14:paraId="4FDEE82E" w14:textId="77777777" w:rsidR="00ED10EF" w:rsidRPr="00ED10EF" w:rsidRDefault="00ED10EF" w:rsidP="00ED10EF">
      <w:r w:rsidRPr="00ED10EF">
        <w:t xml:space="preserve">For this project, I have selected </w:t>
      </w:r>
      <w:r w:rsidRPr="00ED10EF">
        <w:rPr>
          <w:b/>
          <w:bCs/>
        </w:rPr>
        <w:t>Reliance Industries Limited (RIL)</w:t>
      </w:r>
      <w:r w:rsidRPr="00ED10EF">
        <w:t>, one of India's major diversified business groups. Its activities include oil and chemicals, retail, digital services, media and entertainment, and new energy.</w:t>
      </w:r>
    </w:p>
    <w:p w14:paraId="357E0521" w14:textId="77777777" w:rsidR="00ED10EF" w:rsidRPr="00ED10EF" w:rsidRDefault="00ED10EF" w:rsidP="00ED10EF">
      <w:r w:rsidRPr="00ED10EF">
        <w:t>I have used the company's Integrated Annual Report for FY 2025–26, covering the financial year ended 31 March 2026. The report provides information about the company's revenue, profits, earnings per share, debt, returns and cash flows.</w:t>
      </w:r>
    </w:p>
    <w:p w14:paraId="3E97835A" w14:textId="77777777" w:rsidR="00ED10EF" w:rsidRPr="00ED10EF" w:rsidRDefault="00ED10EF" w:rsidP="00ED10EF">
      <w:pPr>
        <w:rPr>
          <w:b/>
          <w:bCs/>
        </w:rPr>
      </w:pPr>
      <w:r w:rsidRPr="00ED10EF">
        <w:rPr>
          <w:b/>
          <w:bCs/>
        </w:rPr>
        <w:t>2. Objectives of the Study</w:t>
      </w:r>
    </w:p>
    <w:p w14:paraId="5596EEA8" w14:textId="77777777" w:rsidR="00ED10EF" w:rsidRPr="00ED10EF" w:rsidRDefault="00ED10EF" w:rsidP="00ED10EF">
      <w:pPr>
        <w:numPr>
          <w:ilvl w:val="0"/>
          <w:numId w:val="1"/>
        </w:numPr>
      </w:pPr>
      <w:r w:rsidRPr="00ED10EF">
        <w:t>To understand the financial performance of a listed company.</w:t>
      </w:r>
    </w:p>
    <w:p w14:paraId="1A4E9081" w14:textId="77777777" w:rsidR="00ED10EF" w:rsidRPr="00ED10EF" w:rsidRDefault="00ED10EF" w:rsidP="00ED10EF">
      <w:pPr>
        <w:numPr>
          <w:ilvl w:val="0"/>
          <w:numId w:val="1"/>
        </w:numPr>
      </w:pPr>
      <w:r w:rsidRPr="00ED10EF">
        <w:t>To examine revenue and profit growth over two financial years.</w:t>
      </w:r>
    </w:p>
    <w:p w14:paraId="530A66CD" w14:textId="77777777" w:rsidR="00ED10EF" w:rsidRPr="00ED10EF" w:rsidRDefault="00ED10EF" w:rsidP="00ED10EF">
      <w:pPr>
        <w:numPr>
          <w:ilvl w:val="0"/>
          <w:numId w:val="1"/>
        </w:numPr>
      </w:pPr>
      <w:r w:rsidRPr="00ED10EF">
        <w:t>To study earnings per share, debt-equity ratio, ROE and ROCE.</w:t>
      </w:r>
    </w:p>
    <w:p w14:paraId="51169A51" w14:textId="77777777" w:rsidR="00ED10EF" w:rsidRPr="00ED10EF" w:rsidRDefault="00ED10EF" w:rsidP="00ED10EF">
      <w:pPr>
        <w:numPr>
          <w:ilvl w:val="0"/>
          <w:numId w:val="1"/>
        </w:numPr>
      </w:pPr>
      <w:r w:rsidRPr="00ED10EF">
        <w:t>To analyse cash flow and the company's ability to finance its operations.</w:t>
      </w:r>
    </w:p>
    <w:p w14:paraId="6B2AF914" w14:textId="77777777" w:rsidR="00ED10EF" w:rsidRPr="00ED10EF" w:rsidRDefault="00ED10EF" w:rsidP="00ED10EF">
      <w:pPr>
        <w:numPr>
          <w:ilvl w:val="0"/>
          <w:numId w:val="1"/>
        </w:numPr>
      </w:pPr>
      <w:r w:rsidRPr="00ED10EF">
        <w:t>To identify two major strengths and two weaknesses.</w:t>
      </w:r>
    </w:p>
    <w:p w14:paraId="6AA2646E" w14:textId="77777777" w:rsidR="00ED10EF" w:rsidRPr="00ED10EF" w:rsidRDefault="00ED10EF" w:rsidP="00ED10EF">
      <w:pPr>
        <w:numPr>
          <w:ilvl w:val="0"/>
          <w:numId w:val="1"/>
        </w:numPr>
      </w:pPr>
      <w:r w:rsidRPr="00ED10EF">
        <w:t>To evaluate the company's financial position and investment potential using factual evidence.</w:t>
      </w:r>
    </w:p>
    <w:p w14:paraId="72F3CD03" w14:textId="77777777" w:rsidR="00ED10EF" w:rsidRPr="00ED10EF" w:rsidRDefault="00ED10EF" w:rsidP="00ED10EF">
      <w:pPr>
        <w:rPr>
          <w:b/>
          <w:bCs/>
        </w:rPr>
      </w:pPr>
      <w:r w:rsidRPr="00ED10EF">
        <w:rPr>
          <w:b/>
          <w:bCs/>
        </w:rPr>
        <w:t>3. Company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gridCol w:w="5479"/>
      </w:tblGrid>
      <w:tr w:rsidR="00ED10EF" w:rsidRPr="00ED10EF" w14:paraId="0FA9F3E8" w14:textId="77777777" w:rsidTr="00ED10EF">
        <w:trPr>
          <w:tblCellSpacing w:w="15" w:type="dxa"/>
        </w:trPr>
        <w:tc>
          <w:tcPr>
            <w:tcW w:w="0" w:type="auto"/>
            <w:vAlign w:val="center"/>
            <w:hideMark/>
          </w:tcPr>
          <w:p w14:paraId="0E0CF25D" w14:textId="77777777" w:rsidR="00ED10EF" w:rsidRPr="00ED10EF" w:rsidRDefault="00ED10EF" w:rsidP="00ED10EF">
            <w:pPr>
              <w:rPr>
                <w:b/>
                <w:bCs/>
              </w:rPr>
            </w:pPr>
            <w:r w:rsidRPr="00ED10EF">
              <w:rPr>
                <w:b/>
                <w:bCs/>
              </w:rPr>
              <w:t>Particular</w:t>
            </w:r>
          </w:p>
        </w:tc>
        <w:tc>
          <w:tcPr>
            <w:tcW w:w="0" w:type="auto"/>
            <w:vAlign w:val="center"/>
            <w:hideMark/>
          </w:tcPr>
          <w:p w14:paraId="21BAA072" w14:textId="77777777" w:rsidR="00ED10EF" w:rsidRPr="00ED10EF" w:rsidRDefault="00ED10EF" w:rsidP="00ED10EF">
            <w:pPr>
              <w:rPr>
                <w:b/>
                <w:bCs/>
              </w:rPr>
            </w:pPr>
            <w:r w:rsidRPr="00ED10EF">
              <w:rPr>
                <w:b/>
                <w:bCs/>
              </w:rPr>
              <w:t>Details</w:t>
            </w:r>
          </w:p>
        </w:tc>
      </w:tr>
      <w:tr w:rsidR="00ED10EF" w:rsidRPr="00ED10EF" w14:paraId="6B2EF5DC" w14:textId="77777777" w:rsidTr="00ED10EF">
        <w:trPr>
          <w:tblCellSpacing w:w="15" w:type="dxa"/>
        </w:trPr>
        <w:tc>
          <w:tcPr>
            <w:tcW w:w="0" w:type="auto"/>
            <w:vAlign w:val="center"/>
            <w:hideMark/>
          </w:tcPr>
          <w:p w14:paraId="05FED17E" w14:textId="77777777" w:rsidR="00ED10EF" w:rsidRPr="00ED10EF" w:rsidRDefault="00ED10EF" w:rsidP="00ED10EF">
            <w:r w:rsidRPr="00ED10EF">
              <w:t>Company name</w:t>
            </w:r>
          </w:p>
        </w:tc>
        <w:tc>
          <w:tcPr>
            <w:tcW w:w="0" w:type="auto"/>
            <w:vAlign w:val="center"/>
            <w:hideMark/>
          </w:tcPr>
          <w:p w14:paraId="1BB789D2" w14:textId="77777777" w:rsidR="00ED10EF" w:rsidRPr="00ED10EF" w:rsidRDefault="00ED10EF" w:rsidP="00ED10EF">
            <w:r w:rsidRPr="00ED10EF">
              <w:t>Reliance Industries Limited</w:t>
            </w:r>
          </w:p>
        </w:tc>
      </w:tr>
      <w:tr w:rsidR="00ED10EF" w:rsidRPr="00ED10EF" w14:paraId="1C081CF6" w14:textId="77777777" w:rsidTr="00ED10EF">
        <w:trPr>
          <w:tblCellSpacing w:w="15" w:type="dxa"/>
        </w:trPr>
        <w:tc>
          <w:tcPr>
            <w:tcW w:w="0" w:type="auto"/>
            <w:vAlign w:val="center"/>
            <w:hideMark/>
          </w:tcPr>
          <w:p w14:paraId="039AD816" w14:textId="77777777" w:rsidR="00ED10EF" w:rsidRPr="00ED10EF" w:rsidRDefault="00ED10EF" w:rsidP="00ED10EF">
            <w:r w:rsidRPr="00ED10EF">
              <w:t>Stock exchange</w:t>
            </w:r>
          </w:p>
        </w:tc>
        <w:tc>
          <w:tcPr>
            <w:tcW w:w="0" w:type="auto"/>
            <w:vAlign w:val="center"/>
            <w:hideMark/>
          </w:tcPr>
          <w:p w14:paraId="66606B7A" w14:textId="77777777" w:rsidR="00ED10EF" w:rsidRPr="00ED10EF" w:rsidRDefault="00ED10EF" w:rsidP="00ED10EF">
            <w:r w:rsidRPr="00ED10EF">
              <w:t>NSE and BSE, India</w:t>
            </w:r>
          </w:p>
        </w:tc>
      </w:tr>
      <w:tr w:rsidR="00ED10EF" w:rsidRPr="00ED10EF" w14:paraId="4BA084A0" w14:textId="77777777" w:rsidTr="00ED10EF">
        <w:trPr>
          <w:tblCellSpacing w:w="15" w:type="dxa"/>
        </w:trPr>
        <w:tc>
          <w:tcPr>
            <w:tcW w:w="0" w:type="auto"/>
            <w:vAlign w:val="center"/>
            <w:hideMark/>
          </w:tcPr>
          <w:p w14:paraId="7E4BC395" w14:textId="77777777" w:rsidR="00ED10EF" w:rsidRPr="00ED10EF" w:rsidRDefault="00ED10EF" w:rsidP="00ED10EF">
            <w:r w:rsidRPr="00ED10EF">
              <w:t>NSE symbol</w:t>
            </w:r>
          </w:p>
        </w:tc>
        <w:tc>
          <w:tcPr>
            <w:tcW w:w="0" w:type="auto"/>
            <w:vAlign w:val="center"/>
            <w:hideMark/>
          </w:tcPr>
          <w:p w14:paraId="3B9B3080" w14:textId="77777777" w:rsidR="00ED10EF" w:rsidRPr="00ED10EF" w:rsidRDefault="00ED10EF" w:rsidP="00ED10EF">
            <w:r w:rsidRPr="00ED10EF">
              <w:t>RELIANCE</w:t>
            </w:r>
          </w:p>
        </w:tc>
      </w:tr>
      <w:tr w:rsidR="00ED10EF" w:rsidRPr="00ED10EF" w14:paraId="0EEBEE8E" w14:textId="77777777" w:rsidTr="00ED10EF">
        <w:trPr>
          <w:tblCellSpacing w:w="15" w:type="dxa"/>
        </w:trPr>
        <w:tc>
          <w:tcPr>
            <w:tcW w:w="0" w:type="auto"/>
            <w:vAlign w:val="center"/>
            <w:hideMark/>
          </w:tcPr>
          <w:p w14:paraId="680CDE11" w14:textId="77777777" w:rsidR="00ED10EF" w:rsidRPr="00ED10EF" w:rsidRDefault="00ED10EF" w:rsidP="00ED10EF">
            <w:r w:rsidRPr="00ED10EF">
              <w:lastRenderedPageBreak/>
              <w:t>Chairman and Managing Director</w:t>
            </w:r>
          </w:p>
        </w:tc>
        <w:tc>
          <w:tcPr>
            <w:tcW w:w="0" w:type="auto"/>
            <w:vAlign w:val="center"/>
            <w:hideMark/>
          </w:tcPr>
          <w:p w14:paraId="50B01A40" w14:textId="77777777" w:rsidR="00ED10EF" w:rsidRPr="00ED10EF" w:rsidRDefault="00ED10EF" w:rsidP="00ED10EF">
            <w:r w:rsidRPr="00ED10EF">
              <w:t>Mukesh D. Ambani</w:t>
            </w:r>
          </w:p>
        </w:tc>
      </w:tr>
      <w:tr w:rsidR="00ED10EF" w:rsidRPr="00ED10EF" w14:paraId="22C39213" w14:textId="77777777" w:rsidTr="00ED10EF">
        <w:trPr>
          <w:tblCellSpacing w:w="15" w:type="dxa"/>
        </w:trPr>
        <w:tc>
          <w:tcPr>
            <w:tcW w:w="0" w:type="auto"/>
            <w:vAlign w:val="center"/>
            <w:hideMark/>
          </w:tcPr>
          <w:p w14:paraId="0C2B873E" w14:textId="77777777" w:rsidR="00ED10EF" w:rsidRPr="00ED10EF" w:rsidRDefault="00ED10EF" w:rsidP="00ED10EF">
            <w:r w:rsidRPr="00ED10EF">
              <w:t>Major sectors</w:t>
            </w:r>
          </w:p>
        </w:tc>
        <w:tc>
          <w:tcPr>
            <w:tcW w:w="0" w:type="auto"/>
            <w:vAlign w:val="center"/>
            <w:hideMark/>
          </w:tcPr>
          <w:p w14:paraId="7CF01E33" w14:textId="77777777" w:rsidR="00ED10EF" w:rsidRPr="00ED10EF" w:rsidRDefault="00ED10EF" w:rsidP="00ED10EF">
            <w:r w:rsidRPr="00ED10EF">
              <w:t>Energy, retail, digital services, media and new energy</w:t>
            </w:r>
          </w:p>
        </w:tc>
      </w:tr>
      <w:tr w:rsidR="00ED10EF" w:rsidRPr="00ED10EF" w14:paraId="15FF2704" w14:textId="77777777" w:rsidTr="00ED10EF">
        <w:trPr>
          <w:tblCellSpacing w:w="15" w:type="dxa"/>
        </w:trPr>
        <w:tc>
          <w:tcPr>
            <w:tcW w:w="0" w:type="auto"/>
            <w:vAlign w:val="center"/>
            <w:hideMark/>
          </w:tcPr>
          <w:p w14:paraId="43C7AD02" w14:textId="77777777" w:rsidR="00ED10EF" w:rsidRPr="00ED10EF" w:rsidRDefault="00ED10EF" w:rsidP="00ED10EF">
            <w:r w:rsidRPr="00ED10EF">
              <w:t>Financial year studied</w:t>
            </w:r>
          </w:p>
        </w:tc>
        <w:tc>
          <w:tcPr>
            <w:tcW w:w="0" w:type="auto"/>
            <w:vAlign w:val="center"/>
            <w:hideMark/>
          </w:tcPr>
          <w:p w14:paraId="5E44F1DA" w14:textId="77777777" w:rsidR="00ED10EF" w:rsidRPr="00ED10EF" w:rsidRDefault="00ED10EF" w:rsidP="00ED10EF">
            <w:r w:rsidRPr="00ED10EF">
              <w:t>2025–26</w:t>
            </w:r>
          </w:p>
        </w:tc>
      </w:tr>
      <w:tr w:rsidR="00ED10EF" w:rsidRPr="00ED10EF" w14:paraId="6F22569F" w14:textId="77777777" w:rsidTr="00ED10EF">
        <w:trPr>
          <w:tblCellSpacing w:w="15" w:type="dxa"/>
        </w:trPr>
        <w:tc>
          <w:tcPr>
            <w:tcW w:w="0" w:type="auto"/>
            <w:vAlign w:val="center"/>
            <w:hideMark/>
          </w:tcPr>
          <w:p w14:paraId="788890BA" w14:textId="77777777" w:rsidR="00ED10EF" w:rsidRPr="00ED10EF" w:rsidRDefault="00ED10EF" w:rsidP="00ED10EF">
            <w:r w:rsidRPr="00ED10EF">
              <w:t>Main source</w:t>
            </w:r>
          </w:p>
        </w:tc>
        <w:tc>
          <w:tcPr>
            <w:tcW w:w="0" w:type="auto"/>
            <w:vAlign w:val="center"/>
            <w:hideMark/>
          </w:tcPr>
          <w:p w14:paraId="2A252C54" w14:textId="77777777" w:rsidR="00ED10EF" w:rsidRPr="00ED10EF" w:rsidRDefault="00ED10EF" w:rsidP="00ED10EF">
            <w:r w:rsidRPr="00ED10EF">
              <w:t>Integrated Annual Report 2025–26</w:t>
            </w:r>
          </w:p>
        </w:tc>
      </w:tr>
    </w:tbl>
    <w:p w14:paraId="1362163D" w14:textId="00C742CF" w:rsidR="00ED10EF" w:rsidRDefault="00ED10EF" w:rsidP="00ED10E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D10EF" w:rsidRPr="00ED10EF" w14:paraId="75A6B4D6" w14:textId="77777777" w:rsidTr="00ED10EF">
        <w:trPr>
          <w:tblCellSpacing w:w="15" w:type="dxa"/>
        </w:trPr>
        <w:tc>
          <w:tcPr>
            <w:tcW w:w="0" w:type="auto"/>
            <w:vAlign w:val="center"/>
            <w:hideMark/>
          </w:tcPr>
          <w:p w14:paraId="3DDF6A17" w14:textId="462E6F7D" w:rsidR="00ED10EF" w:rsidRPr="00ED10EF" w:rsidRDefault="00ED10EF" w:rsidP="00ED10EF">
            <w:pPr>
              <w:rPr>
                <w:rFonts w:ascii="Times New Roman" w:eastAsia="Times New Roman" w:hAnsi="Times New Roman" w:cs="Times New Roman"/>
                <w:kern w:val="0"/>
                <w:lang w:eastAsia="en-IN"/>
                <w14:ligatures w14:val="none"/>
              </w:rPr>
            </w:pPr>
          </w:p>
        </w:tc>
        <w:tc>
          <w:tcPr>
            <w:tcW w:w="0" w:type="auto"/>
            <w:vAlign w:val="center"/>
            <w:hideMark/>
          </w:tcPr>
          <w:p w14:paraId="3EF5C581" w14:textId="099DCFEF"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
        </w:tc>
      </w:tr>
      <w:tr w:rsidR="00ED10EF" w:rsidRPr="00ED10EF" w14:paraId="7B590C95" w14:textId="77777777" w:rsidTr="00ED10EF">
        <w:trPr>
          <w:tblCellSpacing w:w="15" w:type="dxa"/>
        </w:trPr>
        <w:tc>
          <w:tcPr>
            <w:tcW w:w="0" w:type="auto"/>
            <w:vAlign w:val="center"/>
            <w:hideMark/>
          </w:tcPr>
          <w:p w14:paraId="177460D1" w14:textId="6D4CC236"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66B2FB21" w14:textId="385053F6"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
        </w:tc>
      </w:tr>
      <w:tr w:rsidR="00ED10EF" w:rsidRPr="00ED10EF" w14:paraId="7D44E1AA" w14:textId="77777777" w:rsidTr="00ED10EF">
        <w:trPr>
          <w:tblCellSpacing w:w="15" w:type="dxa"/>
        </w:trPr>
        <w:tc>
          <w:tcPr>
            <w:tcW w:w="0" w:type="auto"/>
            <w:vAlign w:val="center"/>
            <w:hideMark/>
          </w:tcPr>
          <w:p w14:paraId="2244AA0A" w14:textId="0BEAF805"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F3C097D" w14:textId="3C1C497C"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
        </w:tc>
      </w:tr>
    </w:tbl>
    <w:p w14:paraId="56922E1E"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Reliance is an interesting company for fundamental analysis because it operates in several industries. This diversification can reduce dependence on a single business, although some of its activities remain exposed to changes in commodity prices and economic conditions.</w:t>
      </w:r>
    </w:p>
    <w:p w14:paraId="41001C60"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 xml:space="preserve">The figures below are taken from Reliance's official annual-report materials and consolidated financial statements. </w:t>
      </w:r>
    </w:p>
    <w:p w14:paraId="6A6F673A" w14:textId="46BE0D69" w:rsidR="003C57EC" w:rsidRDefault="003C57EC" w:rsidP="003C57EC">
      <w:pPr>
        <w:spacing w:after="0" w:line="240" w:lineRule="auto"/>
        <w:rPr>
          <w:rFonts w:ascii="Times New Roman" w:eastAsia="Times New Roman" w:hAnsi="Times New Roman" w:cs="Times New Roman"/>
          <w:kern w:val="0"/>
          <w:lang w:eastAsia="en-IN"/>
          <w14:ligatures w14:val="none"/>
        </w:rPr>
      </w:pPr>
    </w:p>
    <w:p w14:paraId="434CCB25" w14:textId="77777777" w:rsidR="003C57EC" w:rsidRDefault="003C57EC" w:rsidP="003C57EC">
      <w:pPr>
        <w:spacing w:after="0" w:line="240" w:lineRule="auto"/>
        <w:rPr>
          <w:rFonts w:ascii="Times New Roman" w:eastAsia="Times New Roman" w:hAnsi="Times New Roman" w:cs="Times New Roman"/>
          <w:kern w:val="0"/>
          <w:lang w:eastAsia="en-IN"/>
          <w14:ligatures w14:val="none"/>
        </w:rPr>
      </w:pPr>
    </w:p>
    <w:p w14:paraId="5BC77F4E" w14:textId="2AD5E2ED" w:rsidR="00ED10EF" w:rsidRPr="00ED10EF" w:rsidRDefault="00ED10EF" w:rsidP="003C57EC">
      <w:pPr>
        <w:spacing w:after="0"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b/>
          <w:bCs/>
          <w:kern w:val="0"/>
          <w:sz w:val="36"/>
          <w:szCs w:val="36"/>
          <w:lang w:eastAsia="en-IN"/>
          <w14:ligatures w14:val="none"/>
        </w:rPr>
        <w:t>4. Revenue and profit growth analysis</w:t>
      </w:r>
    </w:p>
    <w:p w14:paraId="0F6BB6B2"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Consolidated figures, ₹ crore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280"/>
        <w:gridCol w:w="1295"/>
      </w:tblGrid>
      <w:tr w:rsidR="00ED10EF" w:rsidRPr="00ED10EF" w14:paraId="40709252" w14:textId="77777777" w:rsidTr="00ED10EF">
        <w:trPr>
          <w:tblCellSpacing w:w="15" w:type="dxa"/>
        </w:trPr>
        <w:tc>
          <w:tcPr>
            <w:tcW w:w="0" w:type="auto"/>
            <w:vAlign w:val="center"/>
            <w:hideMark/>
          </w:tcPr>
          <w:p w14:paraId="324C840F"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Financial indicator</w:t>
            </w:r>
          </w:p>
        </w:tc>
        <w:tc>
          <w:tcPr>
            <w:tcW w:w="0" w:type="auto"/>
            <w:vAlign w:val="center"/>
            <w:hideMark/>
          </w:tcPr>
          <w:p w14:paraId="3C731289"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FY 2024–25</w:t>
            </w:r>
          </w:p>
        </w:tc>
        <w:tc>
          <w:tcPr>
            <w:tcW w:w="0" w:type="auto"/>
            <w:vAlign w:val="center"/>
            <w:hideMark/>
          </w:tcPr>
          <w:p w14:paraId="259AD881"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FY 2025–26</w:t>
            </w:r>
          </w:p>
        </w:tc>
      </w:tr>
      <w:tr w:rsidR="00ED10EF" w:rsidRPr="00ED10EF" w14:paraId="14F9FF49" w14:textId="77777777" w:rsidTr="00ED10EF">
        <w:trPr>
          <w:tblCellSpacing w:w="15" w:type="dxa"/>
        </w:trPr>
        <w:tc>
          <w:tcPr>
            <w:tcW w:w="0" w:type="auto"/>
            <w:vAlign w:val="center"/>
            <w:hideMark/>
          </w:tcPr>
          <w:p w14:paraId="39AA3C3D"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Revenue</w:t>
            </w:r>
          </w:p>
        </w:tc>
        <w:tc>
          <w:tcPr>
            <w:tcW w:w="0" w:type="auto"/>
            <w:vAlign w:val="center"/>
            <w:hideMark/>
          </w:tcPr>
          <w:p w14:paraId="52D5D1F1"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10,71,174</w:t>
            </w:r>
          </w:p>
        </w:tc>
        <w:tc>
          <w:tcPr>
            <w:tcW w:w="0" w:type="auto"/>
            <w:vAlign w:val="center"/>
            <w:hideMark/>
          </w:tcPr>
          <w:p w14:paraId="6FE3E5F6"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11,75,919</w:t>
            </w:r>
          </w:p>
        </w:tc>
      </w:tr>
      <w:tr w:rsidR="00ED10EF" w:rsidRPr="00ED10EF" w14:paraId="62B7A2D2" w14:textId="77777777" w:rsidTr="00ED10EF">
        <w:trPr>
          <w:tblCellSpacing w:w="15" w:type="dxa"/>
        </w:trPr>
        <w:tc>
          <w:tcPr>
            <w:tcW w:w="0" w:type="auto"/>
            <w:vAlign w:val="center"/>
            <w:hideMark/>
          </w:tcPr>
          <w:p w14:paraId="55C3632B"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EBITDA</w:t>
            </w:r>
          </w:p>
        </w:tc>
        <w:tc>
          <w:tcPr>
            <w:tcW w:w="0" w:type="auto"/>
            <w:vAlign w:val="center"/>
            <w:hideMark/>
          </w:tcPr>
          <w:p w14:paraId="43C045AF"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1,83,422</w:t>
            </w:r>
          </w:p>
        </w:tc>
        <w:tc>
          <w:tcPr>
            <w:tcW w:w="0" w:type="auto"/>
            <w:vAlign w:val="center"/>
            <w:hideMark/>
          </w:tcPr>
          <w:p w14:paraId="423E14FA"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2,07,911</w:t>
            </w:r>
          </w:p>
        </w:tc>
      </w:tr>
      <w:tr w:rsidR="00ED10EF" w:rsidRPr="00ED10EF" w14:paraId="3B63AC6A" w14:textId="77777777" w:rsidTr="00ED10EF">
        <w:trPr>
          <w:tblCellSpacing w:w="15" w:type="dxa"/>
        </w:trPr>
        <w:tc>
          <w:tcPr>
            <w:tcW w:w="0" w:type="auto"/>
            <w:vAlign w:val="center"/>
            <w:hideMark/>
          </w:tcPr>
          <w:p w14:paraId="39EE30A0"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Profit after tax (PAT)</w:t>
            </w:r>
          </w:p>
        </w:tc>
        <w:tc>
          <w:tcPr>
            <w:tcW w:w="0" w:type="auto"/>
            <w:vAlign w:val="center"/>
            <w:hideMark/>
          </w:tcPr>
          <w:p w14:paraId="01CC37E8"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81,309</w:t>
            </w:r>
          </w:p>
        </w:tc>
        <w:tc>
          <w:tcPr>
            <w:tcW w:w="0" w:type="auto"/>
            <w:vAlign w:val="center"/>
            <w:hideMark/>
          </w:tcPr>
          <w:p w14:paraId="1289613A"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95,754</w:t>
            </w:r>
          </w:p>
        </w:tc>
      </w:tr>
      <w:tr w:rsidR="00ED10EF" w:rsidRPr="00ED10EF" w14:paraId="7FCB909E" w14:textId="77777777" w:rsidTr="00ED10EF">
        <w:trPr>
          <w:tblCellSpacing w:w="15" w:type="dxa"/>
        </w:trPr>
        <w:tc>
          <w:tcPr>
            <w:tcW w:w="0" w:type="auto"/>
            <w:vAlign w:val="center"/>
            <w:hideMark/>
          </w:tcPr>
          <w:p w14:paraId="79DA2DC7"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Cash profit</w:t>
            </w:r>
          </w:p>
        </w:tc>
        <w:tc>
          <w:tcPr>
            <w:tcW w:w="0" w:type="auto"/>
            <w:vAlign w:val="center"/>
            <w:hideMark/>
          </w:tcPr>
          <w:p w14:paraId="421B323D"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1,46,917</w:t>
            </w:r>
          </w:p>
        </w:tc>
        <w:tc>
          <w:tcPr>
            <w:tcW w:w="0" w:type="auto"/>
            <w:vAlign w:val="center"/>
            <w:hideMark/>
          </w:tcPr>
          <w:p w14:paraId="28632D3F"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1,71,258</w:t>
            </w:r>
          </w:p>
        </w:tc>
      </w:tr>
    </w:tbl>
    <w:p w14:paraId="3F77E938"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 xml:space="preserve">Source: </w:t>
      </w:r>
      <w:hyperlink r:id="rId5" w:history="1">
        <w:r w:rsidRPr="00ED10EF">
          <w:rPr>
            <w:rFonts w:ascii="Times New Roman" w:eastAsia="Times New Roman" w:hAnsi="Times New Roman" w:cs="Times New Roman"/>
            <w:color w:val="0000FF"/>
            <w:kern w:val="0"/>
            <w:u w:val="single"/>
            <w:lang w:eastAsia="en-IN"/>
            <w14:ligatures w14:val="none"/>
          </w:rPr>
          <w:t>Reliance Industries — Financial Performance and Review, FY 2025–26</w:t>
        </w:r>
      </w:hyperlink>
      <w:r w:rsidRPr="00ED10EF">
        <w:rPr>
          <w:rFonts w:ascii="Times New Roman" w:eastAsia="Times New Roman" w:hAnsi="Times New Roman" w:cs="Times New Roman"/>
          <w:kern w:val="0"/>
          <w:lang w:eastAsia="en-IN"/>
          <w14:ligatures w14:val="none"/>
        </w:rPr>
        <w:t xml:space="preserve">. </w:t>
      </w:r>
    </w:p>
    <w:p w14:paraId="7CC4B27E" w14:textId="46D614BD"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
    <w:p w14:paraId="21008B01" w14:textId="77777777" w:rsidR="00ED10EF" w:rsidRPr="00ED10EF" w:rsidRDefault="00ED10EF" w:rsidP="00ED10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D10EF">
        <w:rPr>
          <w:rFonts w:ascii="Times New Roman" w:eastAsia="Times New Roman" w:hAnsi="Times New Roman" w:cs="Times New Roman"/>
          <w:b/>
          <w:bCs/>
          <w:kern w:val="0"/>
          <w:sz w:val="27"/>
          <w:szCs w:val="27"/>
          <w:lang w:eastAsia="en-IN"/>
          <w14:ligatures w14:val="none"/>
        </w:rPr>
        <w:t>Year-on-year growth</w:t>
      </w:r>
    </w:p>
    <w:p w14:paraId="2CE16953"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Revenue</w:t>
      </w:r>
    </w:p>
    <w:p w14:paraId="5E926553" w14:textId="77777777" w:rsidR="00ED10EF" w:rsidRPr="00ED10EF" w:rsidRDefault="00ED10EF" w:rsidP="00ED10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D10EF">
        <w:rPr>
          <w:rFonts w:ascii="Times New Roman" w:eastAsia="Times New Roman" w:hAnsi="Times New Roman" w:cs="Times New Roman"/>
          <w:b/>
          <w:bCs/>
          <w:kern w:val="0"/>
          <w:sz w:val="27"/>
          <w:szCs w:val="27"/>
          <w:lang w:eastAsia="en-IN"/>
          <w14:ligatures w14:val="none"/>
        </w:rPr>
        <w:t>+9.8%</w:t>
      </w:r>
    </w:p>
    <w:p w14:paraId="314608A1"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EBITDA</w:t>
      </w:r>
    </w:p>
    <w:p w14:paraId="66C5DC68" w14:textId="77777777" w:rsidR="00ED10EF" w:rsidRPr="00ED10EF" w:rsidRDefault="00ED10EF" w:rsidP="00ED10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D10EF">
        <w:rPr>
          <w:rFonts w:ascii="Times New Roman" w:eastAsia="Times New Roman" w:hAnsi="Times New Roman" w:cs="Times New Roman"/>
          <w:b/>
          <w:bCs/>
          <w:kern w:val="0"/>
          <w:sz w:val="27"/>
          <w:szCs w:val="27"/>
          <w:lang w:eastAsia="en-IN"/>
          <w14:ligatures w14:val="none"/>
        </w:rPr>
        <w:t>+13.4%</w:t>
      </w:r>
    </w:p>
    <w:p w14:paraId="4FA56C67"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Profit after tax</w:t>
      </w:r>
    </w:p>
    <w:p w14:paraId="183C9778" w14:textId="77777777" w:rsidR="00ED10EF" w:rsidRPr="00ED10EF" w:rsidRDefault="00ED10EF" w:rsidP="00ED10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D10EF">
        <w:rPr>
          <w:rFonts w:ascii="Times New Roman" w:eastAsia="Times New Roman" w:hAnsi="Times New Roman" w:cs="Times New Roman"/>
          <w:b/>
          <w:bCs/>
          <w:kern w:val="0"/>
          <w:sz w:val="27"/>
          <w:szCs w:val="27"/>
          <w:lang w:eastAsia="en-IN"/>
          <w14:ligatures w14:val="none"/>
        </w:rPr>
        <w:t>+17.8%</w:t>
      </w:r>
    </w:p>
    <w:p w14:paraId="678B8738"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lastRenderedPageBreak/>
        <w:t>Bars illustrate relative growth rates, not the absolute amounts of revenue or profit.</w:t>
      </w:r>
    </w:p>
    <w:p w14:paraId="6ECF6B1F" w14:textId="77777777" w:rsidR="00ED10EF" w:rsidRPr="00ED10EF" w:rsidRDefault="00ED10EF" w:rsidP="00ED10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D10EF">
        <w:rPr>
          <w:rFonts w:ascii="Times New Roman" w:eastAsia="Times New Roman" w:hAnsi="Times New Roman" w:cs="Times New Roman"/>
          <w:b/>
          <w:bCs/>
          <w:kern w:val="0"/>
          <w:sz w:val="27"/>
          <w:szCs w:val="27"/>
          <w:lang w:eastAsia="en-IN"/>
          <w14:ligatures w14:val="none"/>
        </w:rPr>
        <w:t>Calculation of revenue growth</w:t>
      </w:r>
    </w:p>
    <w:p w14:paraId="264D872A"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 xml:space="preserve"> \</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 xml:space="preserve">Revenue </w:t>
      </w:r>
      <w:proofErr w:type="gramStart"/>
      <w:r w:rsidRPr="00ED10EF">
        <w:rPr>
          <w:rFonts w:ascii="Times New Roman" w:eastAsia="Times New Roman" w:hAnsi="Times New Roman" w:cs="Times New Roman"/>
          <w:kern w:val="0"/>
          <w:lang w:eastAsia="en-IN"/>
          <w14:ligatures w14:val="none"/>
        </w:rPr>
        <w:t>Growth}=</w:t>
      </w:r>
      <w:proofErr w:type="gramEnd"/>
      <w:r w:rsidRPr="00ED10EF">
        <w:rPr>
          <w:rFonts w:ascii="Times New Roman" w:eastAsia="Times New Roman" w:hAnsi="Times New Roman" w:cs="Times New Roman"/>
          <w:kern w:val="0"/>
          <w:lang w:eastAsia="en-IN"/>
          <w14:ligatures w14:val="none"/>
        </w:rPr>
        <w:t>\</w:t>
      </w:r>
      <w:proofErr w:type="gramStart"/>
      <w:r w:rsidRPr="00ED10EF">
        <w:rPr>
          <w:rFonts w:ascii="Times New Roman" w:eastAsia="Times New Roman" w:hAnsi="Times New Roman" w:cs="Times New Roman"/>
          <w:kern w:val="0"/>
          <w:lang w:eastAsia="en-IN"/>
          <w14:ligatures w14:val="none"/>
        </w:rPr>
        <w:t>frac{</w:t>
      </w:r>
      <w:proofErr w:type="gramEnd"/>
      <w:r w:rsidRPr="00ED10EF">
        <w:rPr>
          <w:rFonts w:ascii="Times New Roman" w:eastAsia="Times New Roman" w:hAnsi="Times New Roman" w:cs="Times New Roman"/>
          <w:kern w:val="0"/>
          <w:lang w:eastAsia="en-IN"/>
          <w14:ligatures w14:val="none"/>
        </w:rPr>
        <w:t>\</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Current Revenue}-\</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Previous Revenue</w:t>
      </w: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Previous Revenue</w:t>
      </w: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times100 \]</w:t>
      </w:r>
    </w:p>
    <w:p w14:paraId="07471653"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 xml:space="preserve"> =\</w:t>
      </w:r>
      <w:proofErr w:type="gramStart"/>
      <w:r w:rsidRPr="00ED10EF">
        <w:rPr>
          <w:rFonts w:ascii="Times New Roman" w:eastAsia="Times New Roman" w:hAnsi="Times New Roman" w:cs="Times New Roman"/>
          <w:kern w:val="0"/>
          <w:lang w:eastAsia="en-IN"/>
          <w14:ligatures w14:val="none"/>
        </w:rPr>
        <w:t>frac{</w:t>
      </w:r>
      <w:proofErr w:type="gramEnd"/>
      <w:r w:rsidRPr="00ED10EF">
        <w:rPr>
          <w:rFonts w:ascii="Times New Roman" w:eastAsia="Times New Roman" w:hAnsi="Times New Roman" w:cs="Times New Roman"/>
          <w:kern w:val="0"/>
          <w:lang w:eastAsia="en-IN"/>
          <w14:ligatures w14:val="none"/>
        </w:rPr>
        <w:t>11,75,919-10,71,</w:t>
      </w:r>
      <w:proofErr w:type="gramStart"/>
      <w:r w:rsidRPr="00ED10EF">
        <w:rPr>
          <w:rFonts w:ascii="Times New Roman" w:eastAsia="Times New Roman" w:hAnsi="Times New Roman" w:cs="Times New Roman"/>
          <w:kern w:val="0"/>
          <w:lang w:eastAsia="en-IN"/>
          <w14:ligatures w14:val="none"/>
        </w:rPr>
        <w:t>174}{</w:t>
      </w:r>
      <w:proofErr w:type="gramEnd"/>
      <w:r w:rsidRPr="00ED10EF">
        <w:rPr>
          <w:rFonts w:ascii="Times New Roman" w:eastAsia="Times New Roman" w:hAnsi="Times New Roman" w:cs="Times New Roman"/>
          <w:kern w:val="0"/>
          <w:lang w:eastAsia="en-IN"/>
          <w14:ligatures w14:val="none"/>
        </w:rPr>
        <w:t>10,71,</w:t>
      </w:r>
      <w:proofErr w:type="gramStart"/>
      <w:r w:rsidRPr="00ED10EF">
        <w:rPr>
          <w:rFonts w:ascii="Times New Roman" w:eastAsia="Times New Roman" w:hAnsi="Times New Roman" w:cs="Times New Roman"/>
          <w:kern w:val="0"/>
          <w:lang w:eastAsia="en-IN"/>
          <w14:ligatures w14:val="none"/>
        </w:rPr>
        <w:t>174}\</w:t>
      </w:r>
      <w:proofErr w:type="gramEnd"/>
      <w:r w:rsidRPr="00ED10EF">
        <w:rPr>
          <w:rFonts w:ascii="Times New Roman" w:eastAsia="Times New Roman" w:hAnsi="Times New Roman" w:cs="Times New Roman"/>
          <w:kern w:val="0"/>
          <w:lang w:eastAsia="en-IN"/>
          <w14:ligatures w14:val="none"/>
        </w:rPr>
        <w:t>times100 \]</w:t>
      </w:r>
    </w:p>
    <w:p w14:paraId="4D302D3E"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 xml:space="preserve"> =\</w:t>
      </w:r>
      <w:proofErr w:type="gramStart"/>
      <w:r w:rsidRPr="00ED10EF">
        <w:rPr>
          <w:rFonts w:ascii="Times New Roman" w:eastAsia="Times New Roman" w:hAnsi="Times New Roman" w:cs="Times New Roman"/>
          <w:kern w:val="0"/>
          <w:lang w:eastAsia="en-IN"/>
          <w14:ligatures w14:val="none"/>
        </w:rPr>
        <w:t>boxed{</w:t>
      </w:r>
      <w:proofErr w:type="gramEnd"/>
      <w:r w:rsidRPr="00ED10EF">
        <w:rPr>
          <w:rFonts w:ascii="Times New Roman" w:eastAsia="Times New Roman" w:hAnsi="Times New Roman" w:cs="Times New Roman"/>
          <w:kern w:val="0"/>
          <w:lang w:eastAsia="en-IN"/>
          <w14:ligatures w14:val="none"/>
        </w:rPr>
        <w:t>9.78</w:t>
      </w:r>
      <w:proofErr w:type="gramStart"/>
      <w:r w:rsidRPr="00ED10EF">
        <w:rPr>
          <w:rFonts w:ascii="Times New Roman" w:eastAsia="Times New Roman" w:hAnsi="Times New Roman" w:cs="Times New Roman"/>
          <w:kern w:val="0"/>
          <w:lang w:eastAsia="en-IN"/>
          <w14:ligatures w14:val="none"/>
        </w:rPr>
        <w:t>\%\text{ (</w:t>
      </w:r>
      <w:proofErr w:type="gramEnd"/>
      <w:r w:rsidRPr="00ED10EF">
        <w:rPr>
          <w:rFonts w:ascii="Times New Roman" w:eastAsia="Times New Roman" w:hAnsi="Times New Roman" w:cs="Times New Roman"/>
          <w:kern w:val="0"/>
          <w:lang w:eastAsia="en-IN"/>
          <w14:ligatures w14:val="none"/>
        </w:rPr>
        <w:t>approximately)}} \]</w:t>
      </w:r>
    </w:p>
    <w:p w14:paraId="4C447B1D" w14:textId="77777777" w:rsidR="00ED10EF" w:rsidRPr="00ED10EF" w:rsidRDefault="00ED10EF" w:rsidP="00ED10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D10EF">
        <w:rPr>
          <w:rFonts w:ascii="Times New Roman" w:eastAsia="Times New Roman" w:hAnsi="Times New Roman" w:cs="Times New Roman"/>
          <w:b/>
          <w:bCs/>
          <w:kern w:val="0"/>
          <w:sz w:val="27"/>
          <w:szCs w:val="27"/>
          <w:lang w:eastAsia="en-IN"/>
          <w14:ligatures w14:val="none"/>
        </w:rPr>
        <w:t>Calculation of profit growth</w:t>
      </w:r>
    </w:p>
    <w:p w14:paraId="7A33EE55"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 xml:space="preserve"> \</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 xml:space="preserve">Profit </w:t>
      </w:r>
      <w:proofErr w:type="gramStart"/>
      <w:r w:rsidRPr="00ED10EF">
        <w:rPr>
          <w:rFonts w:ascii="Times New Roman" w:eastAsia="Times New Roman" w:hAnsi="Times New Roman" w:cs="Times New Roman"/>
          <w:kern w:val="0"/>
          <w:lang w:eastAsia="en-IN"/>
          <w14:ligatures w14:val="none"/>
        </w:rPr>
        <w:t>Growth}=</w:t>
      </w:r>
      <w:proofErr w:type="gramEnd"/>
      <w:r w:rsidRPr="00ED10EF">
        <w:rPr>
          <w:rFonts w:ascii="Times New Roman" w:eastAsia="Times New Roman" w:hAnsi="Times New Roman" w:cs="Times New Roman"/>
          <w:kern w:val="0"/>
          <w:lang w:eastAsia="en-IN"/>
          <w14:ligatures w14:val="none"/>
        </w:rPr>
        <w:t>\</w:t>
      </w:r>
      <w:proofErr w:type="gramStart"/>
      <w:r w:rsidRPr="00ED10EF">
        <w:rPr>
          <w:rFonts w:ascii="Times New Roman" w:eastAsia="Times New Roman" w:hAnsi="Times New Roman" w:cs="Times New Roman"/>
          <w:kern w:val="0"/>
          <w:lang w:eastAsia="en-IN"/>
          <w14:ligatures w14:val="none"/>
        </w:rPr>
        <w:t>frac{</w:t>
      </w:r>
      <w:proofErr w:type="gramEnd"/>
      <w:r w:rsidRPr="00ED10EF">
        <w:rPr>
          <w:rFonts w:ascii="Times New Roman" w:eastAsia="Times New Roman" w:hAnsi="Times New Roman" w:cs="Times New Roman"/>
          <w:kern w:val="0"/>
          <w:lang w:eastAsia="en-IN"/>
          <w14:ligatures w14:val="none"/>
        </w:rPr>
        <w:t>95,754-</w:t>
      </w:r>
      <w:proofErr w:type="gramStart"/>
      <w:r w:rsidRPr="00ED10EF">
        <w:rPr>
          <w:rFonts w:ascii="Times New Roman" w:eastAsia="Times New Roman" w:hAnsi="Times New Roman" w:cs="Times New Roman"/>
          <w:kern w:val="0"/>
          <w:lang w:eastAsia="en-IN"/>
          <w14:ligatures w14:val="none"/>
        </w:rPr>
        <w:t>81,309}{81,309}\</w:t>
      </w:r>
      <w:proofErr w:type="gramEnd"/>
      <w:r w:rsidRPr="00ED10EF">
        <w:rPr>
          <w:rFonts w:ascii="Times New Roman" w:eastAsia="Times New Roman" w:hAnsi="Times New Roman" w:cs="Times New Roman"/>
          <w:kern w:val="0"/>
          <w:lang w:eastAsia="en-IN"/>
          <w14:ligatures w14:val="none"/>
        </w:rPr>
        <w:t>times100 \]</w:t>
      </w:r>
    </w:p>
    <w:p w14:paraId="354B3B2D"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 xml:space="preserve"> =\</w:t>
      </w:r>
      <w:proofErr w:type="gramStart"/>
      <w:r w:rsidRPr="00ED10EF">
        <w:rPr>
          <w:rFonts w:ascii="Times New Roman" w:eastAsia="Times New Roman" w:hAnsi="Times New Roman" w:cs="Times New Roman"/>
          <w:kern w:val="0"/>
          <w:lang w:eastAsia="en-IN"/>
          <w14:ligatures w14:val="none"/>
        </w:rPr>
        <w:t>boxed{</w:t>
      </w:r>
      <w:proofErr w:type="gramEnd"/>
      <w:r w:rsidRPr="00ED10EF">
        <w:rPr>
          <w:rFonts w:ascii="Times New Roman" w:eastAsia="Times New Roman" w:hAnsi="Times New Roman" w:cs="Times New Roman"/>
          <w:kern w:val="0"/>
          <w:lang w:eastAsia="en-IN"/>
          <w14:ligatures w14:val="none"/>
        </w:rPr>
        <w:t>17.77</w:t>
      </w:r>
      <w:proofErr w:type="gramStart"/>
      <w:r w:rsidRPr="00ED10EF">
        <w:rPr>
          <w:rFonts w:ascii="Times New Roman" w:eastAsia="Times New Roman" w:hAnsi="Times New Roman" w:cs="Times New Roman"/>
          <w:kern w:val="0"/>
          <w:lang w:eastAsia="en-IN"/>
          <w14:ligatures w14:val="none"/>
        </w:rPr>
        <w:t>\%\text{ (</w:t>
      </w:r>
      <w:proofErr w:type="gramEnd"/>
      <w:r w:rsidRPr="00ED10EF">
        <w:rPr>
          <w:rFonts w:ascii="Times New Roman" w:eastAsia="Times New Roman" w:hAnsi="Times New Roman" w:cs="Times New Roman"/>
          <w:kern w:val="0"/>
          <w:lang w:eastAsia="en-IN"/>
          <w14:ligatures w14:val="none"/>
        </w:rPr>
        <w:t>approximately)}} \]</w:t>
      </w:r>
    </w:p>
    <w:p w14:paraId="2229F069"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Interpretation: Revenue grew by approximately 9.8%, while profit after tax increased by 17.8%. Profit therefore grew faster than revenue, indicating improved overall profitability during FY 2025–26. The increase in EBITDA also suggests stronger operating performance. However, one year's improvement does not guarantee that the trend will continue.</w:t>
      </w:r>
    </w:p>
    <w:p w14:paraId="3DF8B56D" w14:textId="77777777" w:rsidR="00ED10EF" w:rsidRPr="00ED10EF" w:rsidRDefault="00ED10EF" w:rsidP="00ED10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D10EF">
        <w:rPr>
          <w:rFonts w:ascii="Times New Roman" w:eastAsia="Times New Roman" w:hAnsi="Times New Roman" w:cs="Times New Roman"/>
          <w:b/>
          <w:bCs/>
          <w:kern w:val="0"/>
          <w:sz w:val="36"/>
          <w:szCs w:val="36"/>
          <w:lang w:eastAsia="en-IN"/>
          <w14:ligatures w14:val="none"/>
        </w:rPr>
        <w:t>5. Earnings Per Share (EPS)</w:t>
      </w:r>
    </w:p>
    <w:p w14:paraId="0954E2CE"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EPS measures the profit attributable to each equity share and helps shareholders assess the earnings generated by their investment.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280"/>
        <w:gridCol w:w="1295"/>
      </w:tblGrid>
      <w:tr w:rsidR="00ED10EF" w:rsidRPr="00ED10EF" w14:paraId="7B108CFA" w14:textId="77777777" w:rsidTr="00ED10EF">
        <w:trPr>
          <w:tblCellSpacing w:w="15" w:type="dxa"/>
        </w:trPr>
        <w:tc>
          <w:tcPr>
            <w:tcW w:w="0" w:type="auto"/>
            <w:vAlign w:val="center"/>
            <w:hideMark/>
          </w:tcPr>
          <w:p w14:paraId="188DA1E6"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Indicator</w:t>
            </w:r>
          </w:p>
        </w:tc>
        <w:tc>
          <w:tcPr>
            <w:tcW w:w="0" w:type="auto"/>
            <w:vAlign w:val="center"/>
            <w:hideMark/>
          </w:tcPr>
          <w:p w14:paraId="0C88BCB7"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FY 2024–25</w:t>
            </w:r>
          </w:p>
        </w:tc>
        <w:tc>
          <w:tcPr>
            <w:tcW w:w="0" w:type="auto"/>
            <w:vAlign w:val="center"/>
            <w:hideMark/>
          </w:tcPr>
          <w:p w14:paraId="74BC68E2"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FY 2025–26</w:t>
            </w:r>
          </w:p>
        </w:tc>
      </w:tr>
      <w:tr w:rsidR="00ED10EF" w:rsidRPr="00ED10EF" w14:paraId="3DCBD5C0" w14:textId="77777777" w:rsidTr="00ED10EF">
        <w:trPr>
          <w:tblCellSpacing w:w="15" w:type="dxa"/>
        </w:trPr>
        <w:tc>
          <w:tcPr>
            <w:tcW w:w="0" w:type="auto"/>
            <w:vAlign w:val="center"/>
            <w:hideMark/>
          </w:tcPr>
          <w:p w14:paraId="44FD3BCB"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EPS</w:t>
            </w:r>
          </w:p>
        </w:tc>
        <w:tc>
          <w:tcPr>
            <w:tcW w:w="0" w:type="auto"/>
            <w:vAlign w:val="center"/>
            <w:hideMark/>
          </w:tcPr>
          <w:p w14:paraId="41EBC705"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₹51.5</w:t>
            </w:r>
          </w:p>
        </w:tc>
        <w:tc>
          <w:tcPr>
            <w:tcW w:w="0" w:type="auto"/>
            <w:vAlign w:val="center"/>
            <w:hideMark/>
          </w:tcPr>
          <w:p w14:paraId="0D3ED05A"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₹59.7</w:t>
            </w:r>
          </w:p>
        </w:tc>
      </w:tr>
    </w:tbl>
    <w:p w14:paraId="4FD40469"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 xml:space="preserve">Source: </w:t>
      </w:r>
      <w:hyperlink r:id="rId6" w:history="1">
        <w:r w:rsidRPr="00ED10EF">
          <w:rPr>
            <w:rFonts w:ascii="Times New Roman" w:eastAsia="Times New Roman" w:hAnsi="Times New Roman" w:cs="Times New Roman"/>
            <w:color w:val="0000FF"/>
            <w:kern w:val="0"/>
            <w:u w:val="single"/>
            <w:lang w:eastAsia="en-IN"/>
            <w14:ligatures w14:val="none"/>
          </w:rPr>
          <w:t>Official ten-year financial highlights</w:t>
        </w:r>
      </w:hyperlink>
      <w:r w:rsidRPr="00ED10EF">
        <w:rPr>
          <w:rFonts w:ascii="Times New Roman" w:eastAsia="Times New Roman" w:hAnsi="Times New Roman" w:cs="Times New Roman"/>
          <w:kern w:val="0"/>
          <w:lang w:eastAsia="en-IN"/>
          <w14:ligatures w14:val="none"/>
        </w:rPr>
        <w:t xml:space="preserve">. </w:t>
      </w:r>
    </w:p>
    <w:p w14:paraId="3E7030E4" w14:textId="4CF2D2D8"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
    <w:p w14:paraId="711072CB" w14:textId="77777777" w:rsidR="00ED10EF" w:rsidRPr="00ED10EF" w:rsidRDefault="00ED10EF" w:rsidP="00ED10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D10EF">
        <w:rPr>
          <w:rFonts w:ascii="Times New Roman" w:eastAsia="Times New Roman" w:hAnsi="Times New Roman" w:cs="Times New Roman"/>
          <w:b/>
          <w:bCs/>
          <w:kern w:val="0"/>
          <w:sz w:val="27"/>
          <w:szCs w:val="27"/>
          <w:lang w:eastAsia="en-IN"/>
          <w14:ligatures w14:val="none"/>
        </w:rPr>
        <w:t>EPS growth calculation</w:t>
      </w:r>
    </w:p>
    <w:p w14:paraId="1F10B907"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 xml:space="preserve"> \</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 xml:space="preserve">EPS </w:t>
      </w:r>
      <w:proofErr w:type="gramStart"/>
      <w:r w:rsidRPr="00ED10EF">
        <w:rPr>
          <w:rFonts w:ascii="Times New Roman" w:eastAsia="Times New Roman" w:hAnsi="Times New Roman" w:cs="Times New Roman"/>
          <w:kern w:val="0"/>
          <w:lang w:eastAsia="en-IN"/>
          <w14:ligatures w14:val="none"/>
        </w:rPr>
        <w:t>Growth}=</w:t>
      </w:r>
      <w:proofErr w:type="gramEnd"/>
      <w:r w:rsidRPr="00ED10EF">
        <w:rPr>
          <w:rFonts w:ascii="Times New Roman" w:eastAsia="Times New Roman" w:hAnsi="Times New Roman" w:cs="Times New Roman"/>
          <w:kern w:val="0"/>
          <w:lang w:eastAsia="en-IN"/>
          <w14:ligatures w14:val="none"/>
        </w:rPr>
        <w:t>\</w:t>
      </w:r>
      <w:proofErr w:type="gramStart"/>
      <w:r w:rsidRPr="00ED10EF">
        <w:rPr>
          <w:rFonts w:ascii="Times New Roman" w:eastAsia="Times New Roman" w:hAnsi="Times New Roman" w:cs="Times New Roman"/>
          <w:kern w:val="0"/>
          <w:lang w:eastAsia="en-IN"/>
          <w14:ligatures w14:val="none"/>
        </w:rPr>
        <w:t>frac{</w:t>
      </w:r>
      <w:proofErr w:type="gramEnd"/>
      <w:r w:rsidRPr="00ED10EF">
        <w:rPr>
          <w:rFonts w:ascii="Times New Roman" w:eastAsia="Times New Roman" w:hAnsi="Times New Roman" w:cs="Times New Roman"/>
          <w:kern w:val="0"/>
          <w:lang w:eastAsia="en-IN"/>
          <w14:ligatures w14:val="none"/>
        </w:rPr>
        <w:t>59.7-51.</w:t>
      </w:r>
      <w:proofErr w:type="gramStart"/>
      <w:r w:rsidRPr="00ED10EF">
        <w:rPr>
          <w:rFonts w:ascii="Times New Roman" w:eastAsia="Times New Roman" w:hAnsi="Times New Roman" w:cs="Times New Roman"/>
          <w:kern w:val="0"/>
          <w:lang w:eastAsia="en-IN"/>
          <w14:ligatures w14:val="none"/>
        </w:rPr>
        <w:t>5}{51.5}\</w:t>
      </w:r>
      <w:proofErr w:type="gramEnd"/>
      <w:r w:rsidRPr="00ED10EF">
        <w:rPr>
          <w:rFonts w:ascii="Times New Roman" w:eastAsia="Times New Roman" w:hAnsi="Times New Roman" w:cs="Times New Roman"/>
          <w:kern w:val="0"/>
          <w:lang w:eastAsia="en-IN"/>
          <w14:ligatures w14:val="none"/>
        </w:rPr>
        <w:t>times100 \]</w:t>
      </w:r>
    </w:p>
    <w:p w14:paraId="5F970EF1"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 xml:space="preserve"> =\</w:t>
      </w:r>
      <w:proofErr w:type="gramStart"/>
      <w:r w:rsidRPr="00ED10EF">
        <w:rPr>
          <w:rFonts w:ascii="Times New Roman" w:eastAsia="Times New Roman" w:hAnsi="Times New Roman" w:cs="Times New Roman"/>
          <w:kern w:val="0"/>
          <w:lang w:eastAsia="en-IN"/>
          <w14:ligatures w14:val="none"/>
        </w:rPr>
        <w:t>boxed{</w:t>
      </w:r>
      <w:proofErr w:type="gramEnd"/>
      <w:r w:rsidRPr="00ED10EF">
        <w:rPr>
          <w:rFonts w:ascii="Times New Roman" w:eastAsia="Times New Roman" w:hAnsi="Times New Roman" w:cs="Times New Roman"/>
          <w:kern w:val="0"/>
          <w:lang w:eastAsia="en-IN"/>
          <w14:ligatures w14:val="none"/>
        </w:rPr>
        <w:t>15.92\%} \]</w:t>
      </w:r>
    </w:p>
    <w:p w14:paraId="412525BE"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Interpretation: EPS increased by approximately 15.9%. This indicates improved earnings per share over the period. The company issued bonus shares in the past, so EPS comparisons should use the company's adjusted figures rather than unadjusted historical numbers.</w:t>
      </w:r>
    </w:p>
    <w:p w14:paraId="4925BCF8" w14:textId="77777777" w:rsidR="00ED10EF" w:rsidRPr="00ED10EF" w:rsidRDefault="00ED10EF" w:rsidP="00ED10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D10EF">
        <w:rPr>
          <w:rFonts w:ascii="Times New Roman" w:eastAsia="Times New Roman" w:hAnsi="Times New Roman" w:cs="Times New Roman"/>
          <w:b/>
          <w:bCs/>
          <w:kern w:val="0"/>
          <w:sz w:val="36"/>
          <w:szCs w:val="36"/>
          <w:lang w:eastAsia="en-IN"/>
          <w14:ligatures w14:val="none"/>
        </w:rPr>
        <w:t>6. Debt-Equity Ratio</w:t>
      </w:r>
    </w:p>
    <w:p w14:paraId="47CF52DB"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The debt-equity ratio indicates the relationship between debt and shareholders' equity. It helps evaluate a company's financial leverage.</w:t>
      </w:r>
    </w:p>
    <w:p w14:paraId="77AA7073"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 xml:space="preserve"> \</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 xml:space="preserve">Debt-Equity </w:t>
      </w:r>
      <w:proofErr w:type="gramStart"/>
      <w:r w:rsidRPr="00ED10EF">
        <w:rPr>
          <w:rFonts w:ascii="Times New Roman" w:eastAsia="Times New Roman" w:hAnsi="Times New Roman" w:cs="Times New Roman"/>
          <w:kern w:val="0"/>
          <w:lang w:eastAsia="en-IN"/>
          <w14:ligatures w14:val="none"/>
        </w:rPr>
        <w:t>Ratio}=</w:t>
      </w:r>
      <w:proofErr w:type="gramEnd"/>
      <w:r w:rsidRPr="00ED10EF">
        <w:rPr>
          <w:rFonts w:ascii="Times New Roman" w:eastAsia="Times New Roman" w:hAnsi="Times New Roman" w:cs="Times New Roman"/>
          <w:kern w:val="0"/>
          <w:lang w:eastAsia="en-IN"/>
          <w14:ligatures w14:val="none"/>
        </w:rPr>
        <w:t>\</w:t>
      </w:r>
      <w:proofErr w:type="gramStart"/>
      <w:r w:rsidRPr="00ED10EF">
        <w:rPr>
          <w:rFonts w:ascii="Times New Roman" w:eastAsia="Times New Roman" w:hAnsi="Times New Roman" w:cs="Times New Roman"/>
          <w:kern w:val="0"/>
          <w:lang w:eastAsia="en-IN"/>
          <w14:ligatures w14:val="none"/>
        </w:rPr>
        <w:t>frac{</w:t>
      </w:r>
      <w:proofErr w:type="gramEnd"/>
      <w:r w:rsidRPr="00ED10EF">
        <w:rPr>
          <w:rFonts w:ascii="Times New Roman" w:eastAsia="Times New Roman" w:hAnsi="Times New Roman" w:cs="Times New Roman"/>
          <w:kern w:val="0"/>
          <w:lang w:eastAsia="en-IN"/>
          <w14:ligatures w14:val="none"/>
        </w:rPr>
        <w:t>\</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Total Debt</w:t>
      </w: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Shareholders' Equity}} \]</w:t>
      </w:r>
    </w:p>
    <w:p w14:paraId="2202AA9F" w14:textId="69BAE5D2" w:rsidR="00ED10EF" w:rsidRPr="00ED10EF" w:rsidRDefault="00ED10EF" w:rsidP="003C57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lastRenderedPageBreak/>
        <w:t xml:space="preserve">The annual report's key-indicator table reports a debt-equity ratio of approximately 0.41:1 for FY 2025–26. This particular ratio is disclosed on the basis specified in the report's notes. </w:t>
      </w:r>
    </w:p>
    <w:p w14:paraId="5B584C9C"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Interpretation: A ratio of 0.41:1 means that the relevant measure of debt is approximately ₹0.41 for every ₹1 of equity. This suggests moderate leverage on that measurement basis. It should not be confused with the company's consolidated net debt, which is a different measure.</w:t>
      </w:r>
    </w:p>
    <w:p w14:paraId="6145802D" w14:textId="30D2BEA1" w:rsidR="00ED10EF" w:rsidRDefault="00ED10EF" w:rsidP="003C57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 xml:space="preserve">The report also states that consolidated gross debt stood at ₹3,74,421 crore and net debt at ₹1,24,717 crore as of 31 March 2026. These figures show that, despite substantial cash resources, debt remains an important consideration. </w:t>
      </w:r>
    </w:p>
    <w:p w14:paraId="209E1C7E" w14:textId="77777777" w:rsidR="003C57EC" w:rsidRPr="00ED10EF" w:rsidRDefault="003C57EC" w:rsidP="003C57E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2533123" w14:textId="77777777" w:rsidR="00ED10EF" w:rsidRPr="00ED10EF" w:rsidRDefault="00ED10EF" w:rsidP="00ED10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D10EF">
        <w:rPr>
          <w:rFonts w:ascii="Times New Roman" w:eastAsia="Times New Roman" w:hAnsi="Times New Roman" w:cs="Times New Roman"/>
          <w:b/>
          <w:bCs/>
          <w:kern w:val="0"/>
          <w:sz w:val="36"/>
          <w:szCs w:val="36"/>
          <w:lang w:eastAsia="en-IN"/>
          <w14:ligatures w14:val="none"/>
        </w:rPr>
        <w:t>7. Return on Equity (ROE) and Return on Capital Employed (ROCE)</w:t>
      </w:r>
    </w:p>
    <w:p w14:paraId="0C90F00C"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ROE measures how effectively a company generates returns on shareholders' equity.</w:t>
      </w:r>
    </w:p>
    <w:p w14:paraId="2F55B827"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 xml:space="preserve"> \</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ROE}=\</w:t>
      </w:r>
      <w:proofErr w:type="gramStart"/>
      <w:r w:rsidRPr="00ED10EF">
        <w:rPr>
          <w:rFonts w:ascii="Times New Roman" w:eastAsia="Times New Roman" w:hAnsi="Times New Roman" w:cs="Times New Roman"/>
          <w:kern w:val="0"/>
          <w:lang w:eastAsia="en-IN"/>
          <w14:ligatures w14:val="none"/>
        </w:rPr>
        <w:t>frac{</w:t>
      </w:r>
      <w:proofErr w:type="gramEnd"/>
      <w:r w:rsidRPr="00ED10EF">
        <w:rPr>
          <w:rFonts w:ascii="Times New Roman" w:eastAsia="Times New Roman" w:hAnsi="Times New Roman" w:cs="Times New Roman"/>
          <w:kern w:val="0"/>
          <w:lang w:eastAsia="en-IN"/>
          <w14:ligatures w14:val="none"/>
        </w:rPr>
        <w:t>\</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Profit After Tax</w:t>
      </w: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Average Shareholders' Equity</w:t>
      </w: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times100 \]</w:t>
      </w:r>
    </w:p>
    <w:p w14:paraId="06868810"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ROCE measures how effectively a company uses its capital to generate operating returns.</w:t>
      </w:r>
    </w:p>
    <w:p w14:paraId="721E83C2"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 xml:space="preserve"> \</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ROCE}=\frac{\</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EBIT</w:t>
      </w: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w:t>
      </w:r>
      <w:proofErr w:type="gramStart"/>
      <w:r w:rsidRPr="00ED10EF">
        <w:rPr>
          <w:rFonts w:ascii="Times New Roman" w:eastAsia="Times New Roman" w:hAnsi="Times New Roman" w:cs="Times New Roman"/>
          <w:kern w:val="0"/>
          <w:lang w:eastAsia="en-IN"/>
          <w14:ligatures w14:val="none"/>
        </w:rPr>
        <w:t>text{</w:t>
      </w:r>
      <w:proofErr w:type="gramEnd"/>
      <w:r w:rsidRPr="00ED10EF">
        <w:rPr>
          <w:rFonts w:ascii="Times New Roman" w:eastAsia="Times New Roman" w:hAnsi="Times New Roman" w:cs="Times New Roman"/>
          <w:kern w:val="0"/>
          <w:lang w:eastAsia="en-IN"/>
          <w14:ligatures w14:val="none"/>
        </w:rPr>
        <w:t>Capital Employed</w:t>
      </w: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times100 \]</w:t>
      </w:r>
    </w:p>
    <w:p w14:paraId="17B1A14A"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The annual report's management discussion reports the following FY 2025–26 ratios: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1280"/>
        <w:gridCol w:w="1295"/>
      </w:tblGrid>
      <w:tr w:rsidR="00ED10EF" w:rsidRPr="00ED10EF" w14:paraId="6D52EEA0" w14:textId="77777777" w:rsidTr="00ED10EF">
        <w:trPr>
          <w:tblCellSpacing w:w="15" w:type="dxa"/>
        </w:trPr>
        <w:tc>
          <w:tcPr>
            <w:tcW w:w="0" w:type="auto"/>
            <w:vAlign w:val="center"/>
            <w:hideMark/>
          </w:tcPr>
          <w:p w14:paraId="14855872"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Ratio</w:t>
            </w:r>
          </w:p>
        </w:tc>
        <w:tc>
          <w:tcPr>
            <w:tcW w:w="0" w:type="auto"/>
            <w:vAlign w:val="center"/>
            <w:hideMark/>
          </w:tcPr>
          <w:p w14:paraId="5A9EC89B"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FY 2024–25</w:t>
            </w:r>
          </w:p>
        </w:tc>
        <w:tc>
          <w:tcPr>
            <w:tcW w:w="0" w:type="auto"/>
            <w:vAlign w:val="center"/>
            <w:hideMark/>
          </w:tcPr>
          <w:p w14:paraId="1882CF2F"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FY 2025–26</w:t>
            </w:r>
          </w:p>
        </w:tc>
      </w:tr>
      <w:tr w:rsidR="00ED10EF" w:rsidRPr="00ED10EF" w14:paraId="5C20D84F" w14:textId="77777777" w:rsidTr="00ED10EF">
        <w:trPr>
          <w:tblCellSpacing w:w="15" w:type="dxa"/>
        </w:trPr>
        <w:tc>
          <w:tcPr>
            <w:tcW w:w="0" w:type="auto"/>
            <w:vAlign w:val="center"/>
            <w:hideMark/>
          </w:tcPr>
          <w:p w14:paraId="219964F1"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Return on Net Worth (adjusted)</w:t>
            </w:r>
          </w:p>
        </w:tc>
        <w:tc>
          <w:tcPr>
            <w:tcW w:w="0" w:type="auto"/>
            <w:vAlign w:val="center"/>
            <w:hideMark/>
          </w:tcPr>
          <w:p w14:paraId="14C22BEC"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8.2%</w:t>
            </w:r>
          </w:p>
        </w:tc>
        <w:tc>
          <w:tcPr>
            <w:tcW w:w="0" w:type="auto"/>
            <w:vAlign w:val="center"/>
            <w:hideMark/>
          </w:tcPr>
          <w:p w14:paraId="781BC350"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10.1%</w:t>
            </w:r>
          </w:p>
        </w:tc>
      </w:tr>
      <w:tr w:rsidR="00ED10EF" w:rsidRPr="00ED10EF" w14:paraId="0042B459" w14:textId="77777777" w:rsidTr="00ED10EF">
        <w:trPr>
          <w:tblCellSpacing w:w="15" w:type="dxa"/>
        </w:trPr>
        <w:tc>
          <w:tcPr>
            <w:tcW w:w="0" w:type="auto"/>
            <w:vAlign w:val="center"/>
            <w:hideMark/>
          </w:tcPr>
          <w:p w14:paraId="73173F77"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Return on Capital Employed</w:t>
            </w:r>
          </w:p>
        </w:tc>
        <w:tc>
          <w:tcPr>
            <w:tcW w:w="0" w:type="auto"/>
            <w:vAlign w:val="center"/>
            <w:hideMark/>
          </w:tcPr>
          <w:p w14:paraId="5DEAA03B"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14.6%</w:t>
            </w:r>
          </w:p>
        </w:tc>
        <w:tc>
          <w:tcPr>
            <w:tcW w:w="0" w:type="auto"/>
            <w:vAlign w:val="center"/>
            <w:hideMark/>
          </w:tcPr>
          <w:p w14:paraId="0D11D5C6"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20.7%</w:t>
            </w:r>
          </w:p>
        </w:tc>
      </w:tr>
    </w:tbl>
    <w:p w14:paraId="6085DB5A" w14:textId="54EA7B56" w:rsidR="00ED10EF" w:rsidRPr="00ED10EF" w:rsidRDefault="00ED10EF" w:rsidP="003C57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 xml:space="preserve">Source: </w:t>
      </w:r>
      <w:hyperlink r:id="rId7" w:history="1">
        <w:r w:rsidRPr="00ED10EF">
          <w:rPr>
            <w:rFonts w:ascii="Times New Roman" w:eastAsia="Times New Roman" w:hAnsi="Times New Roman" w:cs="Times New Roman"/>
            <w:color w:val="0000FF"/>
            <w:kern w:val="0"/>
            <w:u w:val="single"/>
            <w:lang w:eastAsia="en-IN"/>
            <w14:ligatures w14:val="none"/>
          </w:rPr>
          <w:t>Management Discussion and Analysis — Financial Performance and Review</w:t>
        </w:r>
      </w:hyperlink>
      <w:r w:rsidRPr="00ED10EF">
        <w:rPr>
          <w:rFonts w:ascii="Times New Roman" w:eastAsia="Times New Roman" w:hAnsi="Times New Roman" w:cs="Times New Roman"/>
          <w:kern w:val="0"/>
          <w:lang w:eastAsia="en-IN"/>
          <w14:ligatures w14:val="none"/>
        </w:rPr>
        <w:t xml:space="preserve">. </w:t>
      </w:r>
    </w:p>
    <w:p w14:paraId="0A3CF867"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Interpretation: Both reported returns improved. The rise in adjusted return on net worth suggests better profitability relative to the relevant equity base, while the improvement in ROCE suggests more efficient use of capital under the company's reported methodology.</w:t>
      </w:r>
    </w:p>
    <w:p w14:paraId="601231E7"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It is important to use the annual report's stated definitions when comparing ratios because adjustments and calculation methods can differ between financial statements and financial-data websites.</w:t>
      </w:r>
    </w:p>
    <w:p w14:paraId="35114462" w14:textId="77777777" w:rsidR="00ED10EF" w:rsidRPr="00ED10EF" w:rsidRDefault="00ED10EF" w:rsidP="00ED10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D10EF">
        <w:rPr>
          <w:rFonts w:ascii="Times New Roman" w:eastAsia="Times New Roman" w:hAnsi="Times New Roman" w:cs="Times New Roman"/>
          <w:b/>
          <w:bCs/>
          <w:kern w:val="0"/>
          <w:sz w:val="36"/>
          <w:szCs w:val="36"/>
          <w:lang w:eastAsia="en-IN"/>
          <w14:ligatures w14:val="none"/>
        </w:rPr>
        <w:t>8. Cash Flow Analysis</w:t>
      </w:r>
    </w:p>
    <w:p w14:paraId="727938CB"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Cash flow shows how money moves into and out of a business. A company may report accounting profits, but it also needs actual cash to pay employees, suppliers, interest and taxes and to finance expansion.</w:t>
      </w:r>
    </w:p>
    <w:p w14:paraId="2F84B1BE"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lastRenderedPageBreak/>
        <w:t xml:space="preserve">According to Reliance's consolidated cash flow statement for FY 2025–26: </w:t>
      </w:r>
    </w:p>
    <w:p w14:paraId="40B3C613" w14:textId="717CBD92"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4"/>
        <w:gridCol w:w="1573"/>
        <w:gridCol w:w="1588"/>
      </w:tblGrid>
      <w:tr w:rsidR="00ED10EF" w:rsidRPr="00ED10EF" w14:paraId="6037693A" w14:textId="77777777" w:rsidTr="00ED10EF">
        <w:trPr>
          <w:tblCellSpacing w:w="15" w:type="dxa"/>
        </w:trPr>
        <w:tc>
          <w:tcPr>
            <w:tcW w:w="0" w:type="auto"/>
            <w:vAlign w:val="center"/>
            <w:hideMark/>
          </w:tcPr>
          <w:p w14:paraId="4BC29E7E"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Cash flow indicator</w:t>
            </w:r>
          </w:p>
        </w:tc>
        <w:tc>
          <w:tcPr>
            <w:tcW w:w="0" w:type="auto"/>
            <w:vAlign w:val="center"/>
            <w:hideMark/>
          </w:tcPr>
          <w:p w14:paraId="04472E94"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FY 2024–25</w:t>
            </w:r>
          </w:p>
        </w:tc>
        <w:tc>
          <w:tcPr>
            <w:tcW w:w="0" w:type="auto"/>
            <w:vAlign w:val="center"/>
            <w:hideMark/>
          </w:tcPr>
          <w:p w14:paraId="39D29F56"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FY 2025–26</w:t>
            </w:r>
          </w:p>
        </w:tc>
      </w:tr>
      <w:tr w:rsidR="00ED10EF" w:rsidRPr="00ED10EF" w14:paraId="21ABBB60" w14:textId="77777777" w:rsidTr="00ED10EF">
        <w:trPr>
          <w:tblCellSpacing w:w="15" w:type="dxa"/>
        </w:trPr>
        <w:tc>
          <w:tcPr>
            <w:tcW w:w="0" w:type="auto"/>
            <w:vAlign w:val="center"/>
            <w:hideMark/>
          </w:tcPr>
          <w:p w14:paraId="48CCBEBF"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Operating profit before working capital changes</w:t>
            </w:r>
          </w:p>
        </w:tc>
        <w:tc>
          <w:tcPr>
            <w:tcW w:w="0" w:type="auto"/>
            <w:vAlign w:val="center"/>
            <w:hideMark/>
          </w:tcPr>
          <w:p w14:paraId="71BE75B5"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₹1,66,904 crore</w:t>
            </w:r>
          </w:p>
        </w:tc>
        <w:tc>
          <w:tcPr>
            <w:tcW w:w="0" w:type="auto"/>
            <w:vAlign w:val="center"/>
            <w:hideMark/>
          </w:tcPr>
          <w:p w14:paraId="32B6962B"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₹1,89,224 crore</w:t>
            </w:r>
          </w:p>
        </w:tc>
      </w:tr>
      <w:tr w:rsidR="00ED10EF" w:rsidRPr="00ED10EF" w14:paraId="574418A9" w14:textId="77777777" w:rsidTr="00ED10EF">
        <w:trPr>
          <w:tblCellSpacing w:w="15" w:type="dxa"/>
        </w:trPr>
        <w:tc>
          <w:tcPr>
            <w:tcW w:w="0" w:type="auto"/>
            <w:vAlign w:val="center"/>
            <w:hideMark/>
          </w:tcPr>
          <w:p w14:paraId="54401DDA"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Cash generated from operations</w:t>
            </w:r>
          </w:p>
        </w:tc>
        <w:tc>
          <w:tcPr>
            <w:tcW w:w="0" w:type="auto"/>
            <w:vAlign w:val="center"/>
            <w:hideMark/>
          </w:tcPr>
          <w:p w14:paraId="3AC61514"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₹1,90,628 crore</w:t>
            </w:r>
          </w:p>
        </w:tc>
        <w:tc>
          <w:tcPr>
            <w:tcW w:w="0" w:type="auto"/>
            <w:vAlign w:val="center"/>
            <w:hideMark/>
          </w:tcPr>
          <w:p w14:paraId="5C2374C9"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₹2,01,721 crore</w:t>
            </w:r>
          </w:p>
        </w:tc>
      </w:tr>
      <w:tr w:rsidR="00ED10EF" w:rsidRPr="00ED10EF" w14:paraId="7CDD45A4" w14:textId="77777777" w:rsidTr="00ED10EF">
        <w:trPr>
          <w:tblCellSpacing w:w="15" w:type="dxa"/>
        </w:trPr>
        <w:tc>
          <w:tcPr>
            <w:tcW w:w="0" w:type="auto"/>
            <w:vAlign w:val="center"/>
            <w:hideMark/>
          </w:tcPr>
          <w:p w14:paraId="6A72FCD5"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Taxes paid, net</w:t>
            </w:r>
          </w:p>
        </w:tc>
        <w:tc>
          <w:tcPr>
            <w:tcW w:w="0" w:type="auto"/>
            <w:vAlign w:val="center"/>
            <w:hideMark/>
          </w:tcPr>
          <w:p w14:paraId="585A77BB"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₹11,925 crore</w:t>
            </w:r>
          </w:p>
        </w:tc>
        <w:tc>
          <w:tcPr>
            <w:tcW w:w="0" w:type="auto"/>
            <w:vAlign w:val="center"/>
            <w:hideMark/>
          </w:tcPr>
          <w:p w14:paraId="21B0208B"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₹9,608 crore</w:t>
            </w:r>
          </w:p>
        </w:tc>
      </w:tr>
      <w:tr w:rsidR="00ED10EF" w:rsidRPr="00ED10EF" w14:paraId="7CF119E2" w14:textId="77777777" w:rsidTr="00ED10EF">
        <w:trPr>
          <w:tblCellSpacing w:w="15" w:type="dxa"/>
        </w:trPr>
        <w:tc>
          <w:tcPr>
            <w:tcW w:w="0" w:type="auto"/>
            <w:vAlign w:val="center"/>
            <w:hideMark/>
          </w:tcPr>
          <w:p w14:paraId="4FC599EA"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Net cash flow from operating activities</w:t>
            </w:r>
          </w:p>
        </w:tc>
        <w:tc>
          <w:tcPr>
            <w:tcW w:w="0" w:type="auto"/>
            <w:vAlign w:val="center"/>
            <w:hideMark/>
          </w:tcPr>
          <w:p w14:paraId="6AAE913A"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₹1,78,703 crore</w:t>
            </w:r>
          </w:p>
        </w:tc>
        <w:tc>
          <w:tcPr>
            <w:tcW w:w="0" w:type="auto"/>
            <w:vAlign w:val="center"/>
            <w:hideMark/>
          </w:tcPr>
          <w:p w14:paraId="46065B80"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₹1,92,113 crore</w:t>
            </w:r>
          </w:p>
        </w:tc>
      </w:tr>
    </w:tbl>
    <w:p w14:paraId="487AF1E1"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Amounts in ₹ crore. Operating cash flow is calculated after the reported tax payments.</w:t>
      </w:r>
    </w:p>
    <w:p w14:paraId="2F9E2B77" w14:textId="77777777" w:rsidR="00ED10EF" w:rsidRPr="00ED10EF" w:rsidRDefault="00ED10EF" w:rsidP="00ED10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D10EF">
        <w:rPr>
          <w:rFonts w:ascii="Times New Roman" w:eastAsia="Times New Roman" w:hAnsi="Times New Roman" w:cs="Times New Roman"/>
          <w:b/>
          <w:bCs/>
          <w:kern w:val="0"/>
          <w:sz w:val="27"/>
          <w:szCs w:val="27"/>
          <w:lang w:eastAsia="en-IN"/>
          <w14:ligatures w14:val="none"/>
        </w:rPr>
        <w:t>Calculation of operating cash flow growth</w:t>
      </w:r>
    </w:p>
    <w:p w14:paraId="61F64F31"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roofErr w:type="gramStart"/>
      <w:r w:rsidRPr="00ED10EF">
        <w:rPr>
          <w:rFonts w:ascii="Times New Roman" w:eastAsia="Times New Roman" w:hAnsi="Times New Roman" w:cs="Times New Roman"/>
          <w:kern w:val="0"/>
          <w:lang w:eastAsia="en-IN"/>
          <w14:ligatures w14:val="none"/>
        </w:rPr>
        <w:t>\[</w:t>
      </w:r>
      <w:proofErr w:type="gramEnd"/>
      <w:r w:rsidRPr="00ED10EF">
        <w:rPr>
          <w:rFonts w:ascii="Times New Roman" w:eastAsia="Times New Roman" w:hAnsi="Times New Roman" w:cs="Times New Roman"/>
          <w:kern w:val="0"/>
          <w:lang w:eastAsia="en-IN"/>
          <w14:ligatures w14:val="none"/>
        </w:rPr>
        <w:t xml:space="preserve"> \</w:t>
      </w:r>
      <w:proofErr w:type="gramStart"/>
      <w:r w:rsidRPr="00ED10EF">
        <w:rPr>
          <w:rFonts w:ascii="Times New Roman" w:eastAsia="Times New Roman" w:hAnsi="Times New Roman" w:cs="Times New Roman"/>
          <w:kern w:val="0"/>
          <w:lang w:eastAsia="en-IN"/>
          <w14:ligatures w14:val="none"/>
        </w:rPr>
        <w:t>frac{</w:t>
      </w:r>
      <w:proofErr w:type="gramEnd"/>
      <w:r w:rsidRPr="00ED10EF">
        <w:rPr>
          <w:rFonts w:ascii="Times New Roman" w:eastAsia="Times New Roman" w:hAnsi="Times New Roman" w:cs="Times New Roman"/>
          <w:kern w:val="0"/>
          <w:lang w:eastAsia="en-IN"/>
          <w14:ligatures w14:val="none"/>
        </w:rPr>
        <w:t>1,92,113-1,78,</w:t>
      </w:r>
      <w:proofErr w:type="gramStart"/>
      <w:r w:rsidRPr="00ED10EF">
        <w:rPr>
          <w:rFonts w:ascii="Times New Roman" w:eastAsia="Times New Roman" w:hAnsi="Times New Roman" w:cs="Times New Roman"/>
          <w:kern w:val="0"/>
          <w:lang w:eastAsia="en-IN"/>
          <w14:ligatures w14:val="none"/>
        </w:rPr>
        <w:t>703}{</w:t>
      </w:r>
      <w:proofErr w:type="gramEnd"/>
      <w:r w:rsidRPr="00ED10EF">
        <w:rPr>
          <w:rFonts w:ascii="Times New Roman" w:eastAsia="Times New Roman" w:hAnsi="Times New Roman" w:cs="Times New Roman"/>
          <w:kern w:val="0"/>
          <w:lang w:eastAsia="en-IN"/>
          <w14:ligatures w14:val="none"/>
        </w:rPr>
        <w:t>1,78,</w:t>
      </w:r>
      <w:proofErr w:type="gramStart"/>
      <w:r w:rsidRPr="00ED10EF">
        <w:rPr>
          <w:rFonts w:ascii="Times New Roman" w:eastAsia="Times New Roman" w:hAnsi="Times New Roman" w:cs="Times New Roman"/>
          <w:kern w:val="0"/>
          <w:lang w:eastAsia="en-IN"/>
          <w14:ligatures w14:val="none"/>
        </w:rPr>
        <w:t>703}\</w:t>
      </w:r>
      <w:proofErr w:type="gramEnd"/>
      <w:r w:rsidRPr="00ED10EF">
        <w:rPr>
          <w:rFonts w:ascii="Times New Roman" w:eastAsia="Times New Roman" w:hAnsi="Times New Roman" w:cs="Times New Roman"/>
          <w:kern w:val="0"/>
          <w:lang w:eastAsia="en-IN"/>
          <w14:ligatures w14:val="none"/>
        </w:rPr>
        <w:t>times100 =\</w:t>
      </w:r>
      <w:proofErr w:type="gramStart"/>
      <w:r w:rsidRPr="00ED10EF">
        <w:rPr>
          <w:rFonts w:ascii="Times New Roman" w:eastAsia="Times New Roman" w:hAnsi="Times New Roman" w:cs="Times New Roman"/>
          <w:kern w:val="0"/>
          <w:lang w:eastAsia="en-IN"/>
          <w14:ligatures w14:val="none"/>
        </w:rPr>
        <w:t>boxed{</w:t>
      </w:r>
      <w:proofErr w:type="gramEnd"/>
      <w:r w:rsidRPr="00ED10EF">
        <w:rPr>
          <w:rFonts w:ascii="Times New Roman" w:eastAsia="Times New Roman" w:hAnsi="Times New Roman" w:cs="Times New Roman"/>
          <w:kern w:val="0"/>
          <w:lang w:eastAsia="en-IN"/>
          <w14:ligatures w14:val="none"/>
        </w:rPr>
        <w:t>7.50\%} \]</w:t>
      </w:r>
    </w:p>
    <w:p w14:paraId="4148F845" w14:textId="77777777" w:rsidR="00ED10EF" w:rsidRPr="00ED10EF" w:rsidRDefault="00ED10EF" w:rsidP="00ED10E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D10EF">
        <w:rPr>
          <w:rFonts w:ascii="Times New Roman" w:eastAsia="Times New Roman" w:hAnsi="Times New Roman" w:cs="Times New Roman"/>
          <w:b/>
          <w:bCs/>
          <w:kern w:val="0"/>
          <w:sz w:val="27"/>
          <w:szCs w:val="27"/>
          <w:lang w:eastAsia="en-IN"/>
          <w14:ligatures w14:val="none"/>
        </w:rPr>
        <w:t>Interpretation</w:t>
      </w:r>
    </w:p>
    <w:p w14:paraId="2769575E"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Reliance generated approximately ₹1.92 lakh crore in net cash from operating activities during FY 2025–26, an increase of around 7.5% over the previous year. This indicates that its established businesses continued to generate substantial cash.</w:t>
      </w:r>
    </w:p>
    <w:p w14:paraId="4FF15F44" w14:textId="4DEA9BD1" w:rsidR="00ED10EF" w:rsidRPr="00ED10EF" w:rsidRDefault="00ED10EF" w:rsidP="003C57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 xml:space="preserve">The company also reported capital expenditure of ₹1,44,271 crore, directed towards growth projects in oil-to-chemicals, new energy, digital services and retail. </w:t>
      </w:r>
    </w:p>
    <w:p w14:paraId="79E08A51"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The cash flow figures indicate financial capacity to support business expansion. Nevertheless, large investments require careful monitoring because projects may take time to generate adequate returns.</w:t>
      </w:r>
    </w:p>
    <w:p w14:paraId="362744BB" w14:textId="77777777" w:rsidR="00ED10EF" w:rsidRPr="00ED10EF" w:rsidRDefault="00ED10EF" w:rsidP="00ED10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D10EF">
        <w:rPr>
          <w:rFonts w:ascii="Times New Roman" w:eastAsia="Times New Roman" w:hAnsi="Times New Roman" w:cs="Times New Roman"/>
          <w:b/>
          <w:bCs/>
          <w:kern w:val="0"/>
          <w:sz w:val="36"/>
          <w:szCs w:val="36"/>
          <w:lang w:eastAsia="en-IN"/>
          <w14:ligatures w14:val="none"/>
        </w:rPr>
        <w:t>9. Two Major Strengths of Reliance Industries</w:t>
      </w:r>
    </w:p>
    <w:p w14:paraId="1B8484CA"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noProof/>
          <w:kern w:val="0"/>
          <w:lang w:eastAsia="en-IN"/>
          <w14:ligatures w14:val="none"/>
        </w:rPr>
        <w:lastRenderedPageBreak/>
        <w:drawing>
          <wp:inline distT="0" distB="0" distL="0" distR="0" wp14:anchorId="37805639" wp14:editId="299004B7">
            <wp:extent cx="6248400" cy="4229100"/>
            <wp:effectExtent l="0" t="0" r="0" b="0"/>
            <wp:docPr id="24" name="Picture 21" descr="Save 10% on My Jio Store, Milap Nagar, New Delhi, Data Cable, Earphones, Headphones - magicpin |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ave 10% on My Jio Store, Milap Nagar, New Delhi, Data Cable, Earphones, Headphones - magicpin | August, 20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8400" cy="4229100"/>
                    </a:xfrm>
                    <a:prstGeom prst="rect">
                      <a:avLst/>
                    </a:prstGeom>
                    <a:noFill/>
                    <a:ln>
                      <a:noFill/>
                    </a:ln>
                  </pic:spPr>
                </pic:pic>
              </a:graphicData>
            </a:graphic>
          </wp:inline>
        </w:drawing>
      </w:r>
    </w:p>
    <w:p w14:paraId="45E6FE77"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Strength 1: Diversified business operations</w:t>
      </w:r>
    </w:p>
    <w:p w14:paraId="49BD0734"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Reliance operates across energy, retail, telecommunications, digital services and media. Its digital-services EBITDA grew by 17.8% during FY 2025–26, while retail EBITDA grew by 7.7%. This diversification gives the company multiple sources of operating earnings and reduces its dependence on any single business.</w:t>
      </w:r>
    </w:p>
    <w:p w14:paraId="73CA25E9"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noProof/>
          <w:kern w:val="0"/>
          <w:lang w:eastAsia="en-IN"/>
          <w14:ligatures w14:val="none"/>
        </w:rPr>
        <w:lastRenderedPageBreak/>
        <w:drawing>
          <wp:inline distT="0" distB="0" distL="0" distR="0" wp14:anchorId="1CF7DB69" wp14:editId="634C9406">
            <wp:extent cx="6105525" cy="4181475"/>
            <wp:effectExtent l="0" t="0" r="9525" b="9525"/>
            <wp:docPr id="25" name="Picture 20" descr="Reliance's first-ever refinery at Jamnagar completes 25 yrs of operations | Company News - Business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eliance's first-ever refinery at Jamnagar completes 25 yrs of operations | Company News - Business Standar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5525" cy="4181475"/>
                    </a:xfrm>
                    <a:prstGeom prst="rect">
                      <a:avLst/>
                    </a:prstGeom>
                    <a:noFill/>
                    <a:ln>
                      <a:noFill/>
                    </a:ln>
                  </pic:spPr>
                </pic:pic>
              </a:graphicData>
            </a:graphic>
          </wp:inline>
        </w:drawing>
      </w:r>
    </w:p>
    <w:p w14:paraId="2D1D5B8C"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Strength 2: Strong earnings and operating cash generation</w:t>
      </w:r>
    </w:p>
    <w:p w14:paraId="5A4DE618"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Revenue increased by 9.8%, profit after tax increased by 17.8%, and operating cash flow reached ₹1,92,113 crore in FY 2025–26. These figures demonstrate the company's ability to generate earnings and cash to support operations, investment and debt servicing.</w:t>
      </w:r>
    </w:p>
    <w:p w14:paraId="7981178F"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 xml:space="preserve">Source: Reliance Industries, FY 2025–26 Integrated Annual Report. </w:t>
      </w:r>
    </w:p>
    <w:p w14:paraId="1C860484" w14:textId="450EE599"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
    <w:p w14:paraId="5C67FC9D" w14:textId="77777777" w:rsidR="00ED10EF" w:rsidRPr="00ED10EF" w:rsidRDefault="00ED10EF" w:rsidP="00ED10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D10EF">
        <w:rPr>
          <w:rFonts w:ascii="Times New Roman" w:eastAsia="Times New Roman" w:hAnsi="Times New Roman" w:cs="Times New Roman"/>
          <w:b/>
          <w:bCs/>
          <w:kern w:val="0"/>
          <w:sz w:val="36"/>
          <w:szCs w:val="36"/>
          <w:lang w:eastAsia="en-IN"/>
          <w14:ligatures w14:val="none"/>
        </w:rPr>
        <w:t>10. Two Major Weaknesses of Reliance Industries</w:t>
      </w:r>
    </w:p>
    <w:p w14:paraId="1C5309E0"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noProof/>
          <w:kern w:val="0"/>
          <w:lang w:eastAsia="en-IN"/>
          <w14:ligatures w14:val="none"/>
        </w:rPr>
        <w:lastRenderedPageBreak/>
        <w:drawing>
          <wp:inline distT="0" distB="0" distL="0" distR="0" wp14:anchorId="3AF17A4F" wp14:editId="0E1809CD">
            <wp:extent cx="6315075" cy="3524250"/>
            <wp:effectExtent l="0" t="0" r="9525" b="0"/>
            <wp:docPr id="27" name="Picture 18" descr="Downstream Pumping Solutions | P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ownstream Pumping Solutions | PC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5075" cy="3524250"/>
                    </a:xfrm>
                    <a:prstGeom prst="rect">
                      <a:avLst/>
                    </a:prstGeom>
                    <a:noFill/>
                    <a:ln>
                      <a:noFill/>
                    </a:ln>
                  </pic:spPr>
                </pic:pic>
              </a:graphicData>
            </a:graphic>
          </wp:inline>
        </w:drawing>
      </w:r>
    </w:p>
    <w:p w14:paraId="38AE8D00"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Weakness 1: Exposure to energy-market volatility</w:t>
      </w:r>
    </w:p>
    <w:p w14:paraId="1B63FC70"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A substantial part of Reliance's operations is connected with oil, refining and petrochemicals. Changes in crude-oil prices, global demand, supply conditions and refining margins can affect profitability. The company's diverse operations provide some protection, but they do not eliminate this risk.</w:t>
      </w:r>
    </w:p>
    <w:p w14:paraId="65D81A72" w14:textId="77777777"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noProof/>
          <w:kern w:val="0"/>
          <w:lang w:eastAsia="en-IN"/>
          <w14:ligatures w14:val="none"/>
        </w:rPr>
        <w:drawing>
          <wp:inline distT="0" distB="0" distL="0" distR="0" wp14:anchorId="32DB6EAF" wp14:editId="09803A80">
            <wp:extent cx="5610225" cy="3009900"/>
            <wp:effectExtent l="0" t="0" r="9525" b="0"/>
            <wp:docPr id="28" name="Picture 17" descr="Tata Power sets up 10 GW greenfield facility in Andhra Pradesh | Eigentum Investments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ata Power sets up 10 GW greenfield facility in Andhra Pradesh | Eigentum Investments posted on the topic | Linked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0225" cy="3009900"/>
                    </a:xfrm>
                    <a:prstGeom prst="rect">
                      <a:avLst/>
                    </a:prstGeom>
                    <a:noFill/>
                    <a:ln>
                      <a:noFill/>
                    </a:ln>
                  </pic:spPr>
                </pic:pic>
              </a:graphicData>
            </a:graphic>
          </wp:inline>
        </w:drawing>
      </w:r>
    </w:p>
    <w:p w14:paraId="2E7B6560"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Weakness 2: High capital requirements and debt exposure</w:t>
      </w:r>
    </w:p>
    <w:p w14:paraId="4EECE52C"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 xml:space="preserve">Reliance invested ₹1,44,271 crore in capital expenditure during FY 2025–26 and reported consolidated net debt of ₹1,24,717 crore at year-end. Large investments may support future </w:t>
      </w:r>
      <w:r w:rsidRPr="00ED10EF">
        <w:rPr>
          <w:rFonts w:ascii="Times New Roman" w:eastAsia="Times New Roman" w:hAnsi="Times New Roman" w:cs="Times New Roman"/>
          <w:kern w:val="0"/>
          <w:lang w:eastAsia="en-IN"/>
          <w14:ligatures w14:val="none"/>
        </w:rPr>
        <w:lastRenderedPageBreak/>
        <w:t>growth, but they also create execution, financing and return-on-investment risks if new projects perform below expectations.</w:t>
      </w:r>
    </w:p>
    <w:p w14:paraId="7120A5E5"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 xml:space="preserve">Source: </w:t>
      </w:r>
      <w:hyperlink r:id="rId12" w:history="1">
        <w:r w:rsidRPr="00ED10EF">
          <w:rPr>
            <w:rFonts w:ascii="Times New Roman" w:eastAsia="Times New Roman" w:hAnsi="Times New Roman" w:cs="Times New Roman"/>
            <w:color w:val="0000FF"/>
            <w:kern w:val="0"/>
            <w:u w:val="single"/>
            <w:lang w:eastAsia="en-IN"/>
            <w14:ligatures w14:val="none"/>
          </w:rPr>
          <w:t>Official annual-report financial review</w:t>
        </w:r>
      </w:hyperlink>
      <w:r w:rsidRPr="00ED10EF">
        <w:rPr>
          <w:rFonts w:ascii="Times New Roman" w:eastAsia="Times New Roman" w:hAnsi="Times New Roman" w:cs="Times New Roman"/>
          <w:kern w:val="0"/>
          <w:lang w:eastAsia="en-IN"/>
          <w14:ligatures w14:val="none"/>
        </w:rPr>
        <w:t xml:space="preserve">. </w:t>
      </w:r>
    </w:p>
    <w:p w14:paraId="2A29F9E8" w14:textId="3906D7BE" w:rsidR="00ED10EF" w:rsidRPr="00ED10EF" w:rsidRDefault="00ED10EF" w:rsidP="00ED10EF">
      <w:pPr>
        <w:spacing w:after="0" w:line="240" w:lineRule="auto"/>
        <w:rPr>
          <w:rFonts w:ascii="Times New Roman" w:eastAsia="Times New Roman" w:hAnsi="Times New Roman" w:cs="Times New Roman"/>
          <w:kern w:val="0"/>
          <w:lang w:eastAsia="en-IN"/>
          <w14:ligatures w14:val="none"/>
        </w:rPr>
      </w:pPr>
    </w:p>
    <w:p w14:paraId="276509FB" w14:textId="77777777" w:rsidR="00ED10EF" w:rsidRPr="00ED10EF" w:rsidRDefault="00ED10EF" w:rsidP="00ED10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D10EF">
        <w:rPr>
          <w:rFonts w:ascii="Times New Roman" w:eastAsia="Times New Roman" w:hAnsi="Times New Roman" w:cs="Times New Roman"/>
          <w:b/>
          <w:bCs/>
          <w:kern w:val="0"/>
          <w:sz w:val="36"/>
          <w:szCs w:val="36"/>
          <w:lang w:eastAsia="en-IN"/>
          <w14:ligatures w14:val="none"/>
        </w:rPr>
        <w:t>11. Overall Fundamental Assessment</w:t>
      </w:r>
    </w:p>
    <w:p w14:paraId="6A3CADB6"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The following table summarises the evidence gathered from the annual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4396"/>
        <w:gridCol w:w="2101"/>
      </w:tblGrid>
      <w:tr w:rsidR="00ED10EF" w:rsidRPr="00ED10EF" w14:paraId="6D4F8A1E" w14:textId="77777777" w:rsidTr="00ED10EF">
        <w:trPr>
          <w:tblCellSpacing w:w="15" w:type="dxa"/>
        </w:trPr>
        <w:tc>
          <w:tcPr>
            <w:tcW w:w="0" w:type="auto"/>
            <w:vAlign w:val="center"/>
            <w:hideMark/>
          </w:tcPr>
          <w:p w14:paraId="34E0FC8E"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Parameter</w:t>
            </w:r>
          </w:p>
        </w:tc>
        <w:tc>
          <w:tcPr>
            <w:tcW w:w="0" w:type="auto"/>
            <w:vAlign w:val="center"/>
            <w:hideMark/>
          </w:tcPr>
          <w:p w14:paraId="36459A78"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Finding</w:t>
            </w:r>
          </w:p>
        </w:tc>
        <w:tc>
          <w:tcPr>
            <w:tcW w:w="0" w:type="auto"/>
            <w:vAlign w:val="center"/>
            <w:hideMark/>
          </w:tcPr>
          <w:p w14:paraId="2743C0FE" w14:textId="77777777" w:rsidR="00ED10EF" w:rsidRPr="00ED10EF" w:rsidRDefault="00ED10EF" w:rsidP="00ED10EF">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ED10EF">
              <w:rPr>
                <w:rFonts w:ascii="Times New Roman" w:eastAsia="Times New Roman" w:hAnsi="Times New Roman" w:cs="Times New Roman"/>
                <w:b/>
                <w:bCs/>
                <w:kern w:val="0"/>
                <w:lang w:eastAsia="en-IN"/>
                <w14:ligatures w14:val="none"/>
              </w:rPr>
              <w:t>Assessment</w:t>
            </w:r>
          </w:p>
        </w:tc>
      </w:tr>
      <w:tr w:rsidR="00ED10EF" w:rsidRPr="00ED10EF" w14:paraId="55EF0AB4" w14:textId="77777777" w:rsidTr="00ED10EF">
        <w:trPr>
          <w:tblCellSpacing w:w="15" w:type="dxa"/>
        </w:trPr>
        <w:tc>
          <w:tcPr>
            <w:tcW w:w="0" w:type="auto"/>
            <w:vAlign w:val="center"/>
            <w:hideMark/>
          </w:tcPr>
          <w:p w14:paraId="1F72836E"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Revenue growth</w:t>
            </w:r>
          </w:p>
        </w:tc>
        <w:tc>
          <w:tcPr>
            <w:tcW w:w="0" w:type="auto"/>
            <w:vAlign w:val="center"/>
            <w:hideMark/>
          </w:tcPr>
          <w:p w14:paraId="0728E769"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9.8%</w:t>
            </w:r>
          </w:p>
        </w:tc>
        <w:tc>
          <w:tcPr>
            <w:tcW w:w="0" w:type="auto"/>
            <w:vAlign w:val="center"/>
            <w:hideMark/>
          </w:tcPr>
          <w:p w14:paraId="47424F75"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Positive</w:t>
            </w:r>
          </w:p>
        </w:tc>
      </w:tr>
      <w:tr w:rsidR="00ED10EF" w:rsidRPr="00ED10EF" w14:paraId="63E3AD24" w14:textId="77777777" w:rsidTr="00ED10EF">
        <w:trPr>
          <w:tblCellSpacing w:w="15" w:type="dxa"/>
        </w:trPr>
        <w:tc>
          <w:tcPr>
            <w:tcW w:w="0" w:type="auto"/>
            <w:vAlign w:val="center"/>
            <w:hideMark/>
          </w:tcPr>
          <w:p w14:paraId="4E7A7501"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Profit growth</w:t>
            </w:r>
          </w:p>
        </w:tc>
        <w:tc>
          <w:tcPr>
            <w:tcW w:w="0" w:type="auto"/>
            <w:vAlign w:val="center"/>
            <w:hideMark/>
          </w:tcPr>
          <w:p w14:paraId="4AE78A7E"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17.8%</w:t>
            </w:r>
          </w:p>
        </w:tc>
        <w:tc>
          <w:tcPr>
            <w:tcW w:w="0" w:type="auto"/>
            <w:vAlign w:val="center"/>
            <w:hideMark/>
          </w:tcPr>
          <w:p w14:paraId="2FB8E987"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Strong improvement</w:t>
            </w:r>
          </w:p>
        </w:tc>
      </w:tr>
      <w:tr w:rsidR="00ED10EF" w:rsidRPr="00ED10EF" w14:paraId="4379F97A" w14:textId="77777777" w:rsidTr="00ED10EF">
        <w:trPr>
          <w:tblCellSpacing w:w="15" w:type="dxa"/>
        </w:trPr>
        <w:tc>
          <w:tcPr>
            <w:tcW w:w="0" w:type="auto"/>
            <w:vAlign w:val="center"/>
            <w:hideMark/>
          </w:tcPr>
          <w:p w14:paraId="30763AC3"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EPS growth</w:t>
            </w:r>
          </w:p>
        </w:tc>
        <w:tc>
          <w:tcPr>
            <w:tcW w:w="0" w:type="auto"/>
            <w:vAlign w:val="center"/>
            <w:hideMark/>
          </w:tcPr>
          <w:p w14:paraId="42B907E8"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Approximately 15.9%</w:t>
            </w:r>
          </w:p>
        </w:tc>
        <w:tc>
          <w:tcPr>
            <w:tcW w:w="0" w:type="auto"/>
            <w:vAlign w:val="center"/>
            <w:hideMark/>
          </w:tcPr>
          <w:p w14:paraId="4F712A8B"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Positive</w:t>
            </w:r>
          </w:p>
        </w:tc>
      </w:tr>
      <w:tr w:rsidR="00ED10EF" w:rsidRPr="00ED10EF" w14:paraId="34FAC1ED" w14:textId="77777777" w:rsidTr="00ED10EF">
        <w:trPr>
          <w:tblCellSpacing w:w="15" w:type="dxa"/>
        </w:trPr>
        <w:tc>
          <w:tcPr>
            <w:tcW w:w="0" w:type="auto"/>
            <w:vAlign w:val="center"/>
            <w:hideMark/>
          </w:tcPr>
          <w:p w14:paraId="39649523"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Debt-equity ratio</w:t>
            </w:r>
          </w:p>
        </w:tc>
        <w:tc>
          <w:tcPr>
            <w:tcW w:w="0" w:type="auto"/>
            <w:vAlign w:val="center"/>
            <w:hideMark/>
          </w:tcPr>
          <w:p w14:paraId="62BA350E"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Approximately 0.41:1 on the report's specified basis</w:t>
            </w:r>
          </w:p>
        </w:tc>
        <w:tc>
          <w:tcPr>
            <w:tcW w:w="0" w:type="auto"/>
            <w:vAlign w:val="center"/>
            <w:hideMark/>
          </w:tcPr>
          <w:p w14:paraId="1C925605"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Monitor leverage</w:t>
            </w:r>
          </w:p>
        </w:tc>
      </w:tr>
      <w:tr w:rsidR="00ED10EF" w:rsidRPr="00ED10EF" w14:paraId="54AEFDD8" w14:textId="77777777" w:rsidTr="00ED10EF">
        <w:trPr>
          <w:tblCellSpacing w:w="15" w:type="dxa"/>
        </w:trPr>
        <w:tc>
          <w:tcPr>
            <w:tcW w:w="0" w:type="auto"/>
            <w:vAlign w:val="center"/>
            <w:hideMark/>
          </w:tcPr>
          <w:p w14:paraId="12EE7F36"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Adjusted return on net worth</w:t>
            </w:r>
          </w:p>
        </w:tc>
        <w:tc>
          <w:tcPr>
            <w:tcW w:w="0" w:type="auto"/>
            <w:vAlign w:val="center"/>
            <w:hideMark/>
          </w:tcPr>
          <w:p w14:paraId="6292F37C"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10.1%</w:t>
            </w:r>
          </w:p>
        </w:tc>
        <w:tc>
          <w:tcPr>
            <w:tcW w:w="0" w:type="auto"/>
            <w:vAlign w:val="center"/>
            <w:hideMark/>
          </w:tcPr>
          <w:p w14:paraId="3A93D714"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Improved</w:t>
            </w:r>
          </w:p>
        </w:tc>
      </w:tr>
      <w:tr w:rsidR="00ED10EF" w:rsidRPr="00ED10EF" w14:paraId="1DEDD3B6" w14:textId="77777777" w:rsidTr="00ED10EF">
        <w:trPr>
          <w:tblCellSpacing w:w="15" w:type="dxa"/>
        </w:trPr>
        <w:tc>
          <w:tcPr>
            <w:tcW w:w="0" w:type="auto"/>
            <w:vAlign w:val="center"/>
            <w:hideMark/>
          </w:tcPr>
          <w:p w14:paraId="584D30AB"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Reported ROCE</w:t>
            </w:r>
          </w:p>
        </w:tc>
        <w:tc>
          <w:tcPr>
            <w:tcW w:w="0" w:type="auto"/>
            <w:vAlign w:val="center"/>
            <w:hideMark/>
          </w:tcPr>
          <w:p w14:paraId="2450EADC"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20.7%</w:t>
            </w:r>
          </w:p>
        </w:tc>
        <w:tc>
          <w:tcPr>
            <w:tcW w:w="0" w:type="auto"/>
            <w:vAlign w:val="center"/>
            <w:hideMark/>
          </w:tcPr>
          <w:p w14:paraId="4F4ED27D"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Improved</w:t>
            </w:r>
          </w:p>
        </w:tc>
      </w:tr>
      <w:tr w:rsidR="00ED10EF" w:rsidRPr="00ED10EF" w14:paraId="4F98C346" w14:textId="77777777" w:rsidTr="00ED10EF">
        <w:trPr>
          <w:tblCellSpacing w:w="15" w:type="dxa"/>
        </w:trPr>
        <w:tc>
          <w:tcPr>
            <w:tcW w:w="0" w:type="auto"/>
            <w:vAlign w:val="center"/>
            <w:hideMark/>
          </w:tcPr>
          <w:p w14:paraId="47DFBFD6"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Operating cash flow</w:t>
            </w:r>
          </w:p>
        </w:tc>
        <w:tc>
          <w:tcPr>
            <w:tcW w:w="0" w:type="auto"/>
            <w:vAlign w:val="center"/>
            <w:hideMark/>
          </w:tcPr>
          <w:p w14:paraId="6DCF62F6"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₹1,92,113 crore</w:t>
            </w:r>
          </w:p>
        </w:tc>
        <w:tc>
          <w:tcPr>
            <w:tcW w:w="0" w:type="auto"/>
            <w:vAlign w:val="center"/>
            <w:hideMark/>
          </w:tcPr>
          <w:p w14:paraId="481458A0"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Strong cash generation</w:t>
            </w:r>
          </w:p>
        </w:tc>
      </w:tr>
    </w:tbl>
    <w:p w14:paraId="37A19D8C" w14:textId="55B59634" w:rsidR="00ED10EF" w:rsidRDefault="00ED10EF" w:rsidP="003C57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 xml:space="preserve">The findings suggest that Reliance's FY 2025–26 financial performance improved across several important indicators. However, the debt-equity ratio, return ratios and consolidated debt figures use different accounting measures and should not be interpreted as directly interchangeable. </w:t>
      </w:r>
    </w:p>
    <w:p w14:paraId="4BA0FFF2" w14:textId="77777777" w:rsidR="003C57EC" w:rsidRPr="00ED10EF" w:rsidRDefault="003C57EC" w:rsidP="003C57E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E25DB9A" w14:textId="77777777" w:rsidR="00ED10EF" w:rsidRPr="00ED10EF" w:rsidRDefault="00ED10EF" w:rsidP="00ED10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D10EF">
        <w:rPr>
          <w:rFonts w:ascii="Times New Roman" w:eastAsia="Times New Roman" w:hAnsi="Times New Roman" w:cs="Times New Roman"/>
          <w:b/>
          <w:bCs/>
          <w:kern w:val="0"/>
          <w:sz w:val="36"/>
          <w:szCs w:val="36"/>
          <w:lang w:eastAsia="en-IN"/>
          <w14:ligatures w14:val="none"/>
        </w:rPr>
        <w:t>12. Conclusion</w:t>
      </w:r>
    </w:p>
    <w:p w14:paraId="1D667153"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After studying the Integrated Annual Report of Reliance Industries Limited for FY 2025–26, I conclude that the company demonstrated strong financial performance during the year. Its revenue increased by 9.8%, while profit after tax rose by 17.8%. Earnings per share also improved, and the company generated more than ₹1.92 lakh crore in operating cash flow.</w:t>
      </w:r>
    </w:p>
    <w:p w14:paraId="7E16307A"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One of the most important observations from my analysis is that profit grew faster than revenue. This suggests an improvement in overall profitability. The company's presence in several industries, particularly retail and digital services, provides opportunities for further growth.</w:t>
      </w:r>
    </w:p>
    <w:p w14:paraId="344EA26B"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However, Reliance is not free from risks. Its energy and petrochemical operations are affected by global market conditions, and its large capital expenditure and outstanding debt require careful management. Future performance will depend on whether its investments generate sufficient returns and whether profitability can be maintained.</w:t>
      </w:r>
    </w:p>
    <w:p w14:paraId="47B9C481"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b/>
          <w:bCs/>
          <w:kern w:val="0"/>
          <w:lang w:eastAsia="en-IN"/>
          <w14:ligatures w14:val="none"/>
        </w:rPr>
        <w:lastRenderedPageBreak/>
        <w:t>My final assessment is that Reliance Industries has a strong business base and encouraging financial indicators, making it a company worth studying for its long-term business potential.</w:t>
      </w:r>
      <w:r w:rsidRPr="00ED10EF">
        <w:rPr>
          <w:rFonts w:ascii="Times New Roman" w:eastAsia="Times New Roman" w:hAnsi="Times New Roman" w:cs="Times New Roman"/>
          <w:kern w:val="0"/>
          <w:lang w:eastAsia="en-IN"/>
          <w14:ligatures w14:val="none"/>
        </w:rPr>
        <w:t xml:space="preserve"> However, financial strength alone does not establish that its shares are attractively priced. A complete investment decision would also require examining the current market price, valuation ratios, future earnings prospects and the investor's risk tolerance.</w:t>
      </w:r>
    </w:p>
    <w:p w14:paraId="3CB45657" w14:textId="77777777" w:rsidR="00ED10EF" w:rsidRPr="00ED10EF" w:rsidRDefault="00ED10EF" w:rsidP="00ED10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ED10EF">
        <w:rPr>
          <w:rFonts w:ascii="Times New Roman" w:eastAsia="Times New Roman" w:hAnsi="Times New Roman" w:cs="Times New Roman"/>
          <w:kern w:val="0"/>
          <w:lang w:eastAsia="en-IN"/>
          <w14:ligatures w14:val="none"/>
        </w:rPr>
        <w:t>This project helped me understand that fundamental analysis involves examining both the positive and negative aspects of a company instead of judging it only by its size or reputation.</w:t>
      </w:r>
    </w:p>
    <w:p w14:paraId="2C53957D" w14:textId="77777777" w:rsidR="00ED10EF" w:rsidRPr="00ED10EF" w:rsidRDefault="00ED10EF" w:rsidP="00ED10EF"/>
    <w:p w14:paraId="48F43701" w14:textId="77777777" w:rsidR="00ED10EF" w:rsidRPr="00ED10EF" w:rsidRDefault="00ED10EF" w:rsidP="00ED10EF">
      <w:pPr>
        <w:rPr>
          <w:b/>
          <w:bCs/>
        </w:rPr>
      </w:pPr>
      <w:r w:rsidRPr="00ED10EF">
        <w:rPr>
          <w:b/>
          <w:bCs/>
        </w:rPr>
        <w:t>13. References and Bibliography</w:t>
      </w:r>
    </w:p>
    <w:p w14:paraId="5BEEFA74" w14:textId="77777777" w:rsidR="00ED10EF" w:rsidRPr="00ED10EF" w:rsidRDefault="00ED10EF" w:rsidP="00ED10EF">
      <w:r w:rsidRPr="00ED10EF">
        <w:t>1. Reliance Industries Limited. Integrated Annual Report 2025–26. Official company report.</w:t>
      </w:r>
    </w:p>
    <w:p w14:paraId="7A0B0CDA" w14:textId="77777777" w:rsidR="00ED10EF" w:rsidRPr="00ED10EF" w:rsidRDefault="00ED10EF" w:rsidP="00ED10EF">
      <w:hyperlink r:id="rId13" w:history="1">
        <w:r w:rsidRPr="00ED10EF">
          <w:rPr>
            <w:rStyle w:val="Hyperlink"/>
          </w:rPr>
          <w:t>Read the complete annual report</w:t>
        </w:r>
      </w:hyperlink>
    </w:p>
    <w:p w14:paraId="14F909CC" w14:textId="77777777" w:rsidR="00ED10EF" w:rsidRPr="00ED10EF" w:rsidRDefault="00ED10EF" w:rsidP="00ED10EF">
      <w:r w:rsidRPr="00ED10EF">
        <w:t>2. Reliance Industries Limited. Financial Performance and Review, FY 2025–26.</w:t>
      </w:r>
    </w:p>
    <w:p w14:paraId="30F9A1AA" w14:textId="77777777" w:rsidR="00ED10EF" w:rsidRPr="00ED10EF" w:rsidRDefault="00ED10EF" w:rsidP="00ED10EF">
      <w:hyperlink r:id="rId14" w:history="1">
        <w:r w:rsidRPr="00ED10EF">
          <w:rPr>
            <w:rStyle w:val="Hyperlink"/>
          </w:rPr>
          <w:t>Read the financial performance analysis</w:t>
        </w:r>
      </w:hyperlink>
    </w:p>
    <w:p w14:paraId="73BBC654" w14:textId="77777777" w:rsidR="00ED10EF" w:rsidRPr="00ED10EF" w:rsidRDefault="00ED10EF" w:rsidP="00ED10EF">
      <w:r w:rsidRPr="00ED10EF">
        <w:t>3. Reliance Industries Limited. Ten-Year Financial Highlights.</w:t>
      </w:r>
    </w:p>
    <w:p w14:paraId="05B480FA" w14:textId="77777777" w:rsidR="00ED10EF" w:rsidRPr="00ED10EF" w:rsidRDefault="00ED10EF" w:rsidP="00ED10EF">
      <w:hyperlink r:id="rId15" w:history="1">
        <w:r w:rsidRPr="00ED10EF">
          <w:rPr>
            <w:rStyle w:val="Hyperlink"/>
          </w:rPr>
          <w:t>View financial indicators and historical figures</w:t>
        </w:r>
      </w:hyperlink>
    </w:p>
    <w:p w14:paraId="78C49F0E" w14:textId="77777777" w:rsidR="00ED10EF" w:rsidRPr="00ED10EF" w:rsidRDefault="00ED10EF" w:rsidP="00ED10EF">
      <w:r w:rsidRPr="00ED10EF">
        <w:t>4. Reliance Industries Limited. Consolidated Financial Statements — Statement of Cash Flows.</w:t>
      </w:r>
    </w:p>
    <w:p w14:paraId="2A16CAAF" w14:textId="77777777" w:rsidR="00ED10EF" w:rsidRPr="00ED10EF" w:rsidRDefault="00ED10EF" w:rsidP="00ED10EF">
      <w:hyperlink r:id="rId16" w:history="1">
        <w:r w:rsidRPr="00ED10EF">
          <w:rPr>
            <w:rStyle w:val="Hyperlink"/>
          </w:rPr>
          <w:t>Read the consolidated cash flow statement</w:t>
        </w:r>
      </w:hyperlink>
    </w:p>
    <w:p w14:paraId="134AB765" w14:textId="77777777" w:rsidR="00792612" w:rsidRDefault="00792612"/>
    <w:sectPr w:rsidR="00792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553BB"/>
    <w:multiLevelType w:val="multilevel"/>
    <w:tmpl w:val="05201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8C2CC0"/>
    <w:multiLevelType w:val="multilevel"/>
    <w:tmpl w:val="EEF2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2960715">
    <w:abstractNumId w:val="0"/>
  </w:num>
  <w:num w:numId="2" w16cid:durableId="380592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0EF"/>
    <w:rsid w:val="00280D2A"/>
    <w:rsid w:val="003C57EC"/>
    <w:rsid w:val="00792612"/>
    <w:rsid w:val="00855445"/>
    <w:rsid w:val="00ED10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B52E0"/>
  <w15:chartTrackingRefBased/>
  <w15:docId w15:val="{E0DE2BED-061E-4411-8804-87641B5F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0EF"/>
    <w:rPr>
      <w:rFonts w:eastAsiaTheme="majorEastAsia" w:cstheme="majorBidi"/>
      <w:color w:val="272727" w:themeColor="text1" w:themeTint="D8"/>
    </w:rPr>
  </w:style>
  <w:style w:type="paragraph" w:styleId="Title">
    <w:name w:val="Title"/>
    <w:basedOn w:val="Normal"/>
    <w:next w:val="Normal"/>
    <w:link w:val="TitleChar"/>
    <w:uiPriority w:val="10"/>
    <w:qFormat/>
    <w:rsid w:val="00ED1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0EF"/>
    <w:pPr>
      <w:spacing w:before="160"/>
      <w:jc w:val="center"/>
    </w:pPr>
    <w:rPr>
      <w:i/>
      <w:iCs/>
      <w:color w:val="404040" w:themeColor="text1" w:themeTint="BF"/>
    </w:rPr>
  </w:style>
  <w:style w:type="character" w:customStyle="1" w:styleId="QuoteChar">
    <w:name w:val="Quote Char"/>
    <w:basedOn w:val="DefaultParagraphFont"/>
    <w:link w:val="Quote"/>
    <w:uiPriority w:val="29"/>
    <w:rsid w:val="00ED10EF"/>
    <w:rPr>
      <w:i/>
      <w:iCs/>
      <w:color w:val="404040" w:themeColor="text1" w:themeTint="BF"/>
    </w:rPr>
  </w:style>
  <w:style w:type="paragraph" w:styleId="ListParagraph">
    <w:name w:val="List Paragraph"/>
    <w:basedOn w:val="Normal"/>
    <w:uiPriority w:val="34"/>
    <w:qFormat/>
    <w:rsid w:val="00ED10EF"/>
    <w:pPr>
      <w:ind w:left="720"/>
      <w:contextualSpacing/>
    </w:pPr>
  </w:style>
  <w:style w:type="character" w:styleId="IntenseEmphasis">
    <w:name w:val="Intense Emphasis"/>
    <w:basedOn w:val="DefaultParagraphFont"/>
    <w:uiPriority w:val="21"/>
    <w:qFormat/>
    <w:rsid w:val="00ED10EF"/>
    <w:rPr>
      <w:i/>
      <w:iCs/>
      <w:color w:val="0F4761" w:themeColor="accent1" w:themeShade="BF"/>
    </w:rPr>
  </w:style>
  <w:style w:type="paragraph" w:styleId="IntenseQuote">
    <w:name w:val="Intense Quote"/>
    <w:basedOn w:val="Normal"/>
    <w:next w:val="Normal"/>
    <w:link w:val="IntenseQuoteChar"/>
    <w:uiPriority w:val="30"/>
    <w:qFormat/>
    <w:rsid w:val="00ED1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0EF"/>
    <w:rPr>
      <w:i/>
      <w:iCs/>
      <w:color w:val="0F4761" w:themeColor="accent1" w:themeShade="BF"/>
    </w:rPr>
  </w:style>
  <w:style w:type="character" w:styleId="IntenseReference">
    <w:name w:val="Intense Reference"/>
    <w:basedOn w:val="DefaultParagraphFont"/>
    <w:uiPriority w:val="32"/>
    <w:qFormat/>
    <w:rsid w:val="00ED10EF"/>
    <w:rPr>
      <w:b/>
      <w:bCs/>
      <w:smallCaps/>
      <w:color w:val="0F4761" w:themeColor="accent1" w:themeShade="BF"/>
      <w:spacing w:val="5"/>
    </w:rPr>
  </w:style>
  <w:style w:type="character" w:styleId="Hyperlink">
    <w:name w:val="Hyperlink"/>
    <w:basedOn w:val="DefaultParagraphFont"/>
    <w:uiPriority w:val="99"/>
    <w:unhideWhenUsed/>
    <w:rsid w:val="00ED10EF"/>
    <w:rPr>
      <w:color w:val="467886" w:themeColor="hyperlink"/>
      <w:u w:val="single"/>
    </w:rPr>
  </w:style>
  <w:style w:type="character" w:styleId="UnresolvedMention">
    <w:name w:val="Unresolved Mention"/>
    <w:basedOn w:val="DefaultParagraphFont"/>
    <w:uiPriority w:val="99"/>
    <w:semiHidden/>
    <w:unhideWhenUsed/>
    <w:rsid w:val="00ED1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353261">
      <w:bodyDiv w:val="1"/>
      <w:marLeft w:val="0"/>
      <w:marRight w:val="0"/>
      <w:marTop w:val="0"/>
      <w:marBottom w:val="0"/>
      <w:divBdr>
        <w:top w:val="none" w:sz="0" w:space="0" w:color="auto"/>
        <w:left w:val="none" w:sz="0" w:space="0" w:color="auto"/>
        <w:bottom w:val="none" w:sz="0" w:space="0" w:color="auto"/>
        <w:right w:val="none" w:sz="0" w:space="0" w:color="auto"/>
      </w:divBdr>
    </w:div>
    <w:div w:id="1036811422">
      <w:bodyDiv w:val="1"/>
      <w:marLeft w:val="0"/>
      <w:marRight w:val="0"/>
      <w:marTop w:val="0"/>
      <w:marBottom w:val="0"/>
      <w:divBdr>
        <w:top w:val="none" w:sz="0" w:space="0" w:color="auto"/>
        <w:left w:val="none" w:sz="0" w:space="0" w:color="auto"/>
        <w:bottom w:val="none" w:sz="0" w:space="0" w:color="auto"/>
        <w:right w:val="none" w:sz="0" w:space="0" w:color="auto"/>
      </w:divBdr>
      <w:divsChild>
        <w:div w:id="952394894">
          <w:marLeft w:val="0"/>
          <w:marRight w:val="0"/>
          <w:marTop w:val="0"/>
          <w:marBottom w:val="0"/>
          <w:divBdr>
            <w:top w:val="none" w:sz="0" w:space="0" w:color="auto"/>
            <w:left w:val="none" w:sz="0" w:space="0" w:color="auto"/>
            <w:bottom w:val="none" w:sz="0" w:space="0" w:color="auto"/>
            <w:right w:val="none" w:sz="0" w:space="0" w:color="auto"/>
          </w:divBdr>
        </w:div>
      </w:divsChild>
    </w:div>
    <w:div w:id="1296445243">
      <w:bodyDiv w:val="1"/>
      <w:marLeft w:val="0"/>
      <w:marRight w:val="0"/>
      <w:marTop w:val="0"/>
      <w:marBottom w:val="0"/>
      <w:divBdr>
        <w:top w:val="none" w:sz="0" w:space="0" w:color="auto"/>
        <w:left w:val="none" w:sz="0" w:space="0" w:color="auto"/>
        <w:bottom w:val="none" w:sz="0" w:space="0" w:color="auto"/>
        <w:right w:val="none" w:sz="0" w:space="0" w:color="auto"/>
      </w:divBdr>
    </w:div>
    <w:div w:id="1613366895">
      <w:bodyDiv w:val="1"/>
      <w:marLeft w:val="0"/>
      <w:marRight w:val="0"/>
      <w:marTop w:val="0"/>
      <w:marBottom w:val="0"/>
      <w:divBdr>
        <w:top w:val="none" w:sz="0" w:space="0" w:color="auto"/>
        <w:left w:val="none" w:sz="0" w:space="0" w:color="auto"/>
        <w:bottom w:val="none" w:sz="0" w:space="0" w:color="auto"/>
        <w:right w:val="none" w:sz="0" w:space="0" w:color="auto"/>
      </w:divBdr>
    </w:div>
    <w:div w:id="1695231579">
      <w:bodyDiv w:val="1"/>
      <w:marLeft w:val="0"/>
      <w:marRight w:val="0"/>
      <w:marTop w:val="0"/>
      <w:marBottom w:val="0"/>
      <w:divBdr>
        <w:top w:val="none" w:sz="0" w:space="0" w:color="auto"/>
        <w:left w:val="none" w:sz="0" w:space="0" w:color="auto"/>
        <w:bottom w:val="none" w:sz="0" w:space="0" w:color="auto"/>
        <w:right w:val="none" w:sz="0" w:space="0" w:color="auto"/>
      </w:divBdr>
      <w:divsChild>
        <w:div w:id="828325491">
          <w:marLeft w:val="0"/>
          <w:marRight w:val="0"/>
          <w:marTop w:val="0"/>
          <w:marBottom w:val="0"/>
          <w:divBdr>
            <w:top w:val="none" w:sz="0" w:space="0" w:color="auto"/>
            <w:left w:val="none" w:sz="0" w:space="0" w:color="auto"/>
            <w:bottom w:val="none" w:sz="0" w:space="0" w:color="auto"/>
            <w:right w:val="none" w:sz="0" w:space="0" w:color="auto"/>
          </w:divBdr>
        </w:div>
      </w:divsChild>
    </w:div>
    <w:div w:id="1847013654">
      <w:bodyDiv w:val="1"/>
      <w:marLeft w:val="0"/>
      <w:marRight w:val="0"/>
      <w:marTop w:val="0"/>
      <w:marBottom w:val="0"/>
      <w:divBdr>
        <w:top w:val="none" w:sz="0" w:space="0" w:color="auto"/>
        <w:left w:val="none" w:sz="0" w:space="0" w:color="auto"/>
        <w:bottom w:val="none" w:sz="0" w:space="0" w:color="auto"/>
        <w:right w:val="none" w:sz="0" w:space="0" w:color="auto"/>
      </w:divBdr>
      <w:divsChild>
        <w:div w:id="1940143421">
          <w:marLeft w:val="0"/>
          <w:marRight w:val="0"/>
          <w:marTop w:val="0"/>
          <w:marBottom w:val="0"/>
          <w:divBdr>
            <w:top w:val="none" w:sz="0" w:space="0" w:color="auto"/>
            <w:left w:val="none" w:sz="0" w:space="0" w:color="auto"/>
            <w:bottom w:val="none" w:sz="0" w:space="0" w:color="auto"/>
            <w:right w:val="none" w:sz="0" w:space="0" w:color="auto"/>
          </w:divBdr>
          <w:divsChild>
            <w:div w:id="2020812879">
              <w:marLeft w:val="0"/>
              <w:marRight w:val="0"/>
              <w:marTop w:val="0"/>
              <w:marBottom w:val="0"/>
              <w:divBdr>
                <w:top w:val="none" w:sz="0" w:space="0" w:color="auto"/>
                <w:left w:val="none" w:sz="0" w:space="0" w:color="auto"/>
                <w:bottom w:val="none" w:sz="0" w:space="0" w:color="auto"/>
                <w:right w:val="none" w:sz="0" w:space="0" w:color="auto"/>
              </w:divBdr>
              <w:divsChild>
                <w:div w:id="930548496">
                  <w:marLeft w:val="0"/>
                  <w:marRight w:val="0"/>
                  <w:marTop w:val="0"/>
                  <w:marBottom w:val="0"/>
                  <w:divBdr>
                    <w:top w:val="none" w:sz="0" w:space="0" w:color="auto"/>
                    <w:left w:val="none" w:sz="0" w:space="0" w:color="auto"/>
                    <w:bottom w:val="none" w:sz="0" w:space="0" w:color="auto"/>
                    <w:right w:val="none" w:sz="0" w:space="0" w:color="auto"/>
                  </w:divBdr>
                  <w:divsChild>
                    <w:div w:id="4685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428270">
          <w:marLeft w:val="0"/>
          <w:marRight w:val="0"/>
          <w:marTop w:val="0"/>
          <w:marBottom w:val="0"/>
          <w:divBdr>
            <w:top w:val="none" w:sz="0" w:space="0" w:color="auto"/>
            <w:left w:val="none" w:sz="0" w:space="0" w:color="auto"/>
            <w:bottom w:val="none" w:sz="0" w:space="0" w:color="auto"/>
            <w:right w:val="none" w:sz="0" w:space="0" w:color="auto"/>
          </w:divBdr>
          <w:divsChild>
            <w:div w:id="155533717">
              <w:marLeft w:val="0"/>
              <w:marRight w:val="0"/>
              <w:marTop w:val="0"/>
              <w:marBottom w:val="0"/>
              <w:divBdr>
                <w:top w:val="none" w:sz="0" w:space="0" w:color="auto"/>
                <w:left w:val="none" w:sz="0" w:space="0" w:color="auto"/>
                <w:bottom w:val="none" w:sz="0" w:space="0" w:color="auto"/>
                <w:right w:val="none" w:sz="0" w:space="0" w:color="auto"/>
              </w:divBdr>
              <w:divsChild>
                <w:div w:id="1972126885">
                  <w:marLeft w:val="0"/>
                  <w:marRight w:val="0"/>
                  <w:marTop w:val="0"/>
                  <w:marBottom w:val="0"/>
                  <w:divBdr>
                    <w:top w:val="none" w:sz="0" w:space="0" w:color="auto"/>
                    <w:left w:val="none" w:sz="0" w:space="0" w:color="auto"/>
                    <w:bottom w:val="none" w:sz="0" w:space="0" w:color="auto"/>
                    <w:right w:val="none" w:sz="0" w:space="0" w:color="auto"/>
                  </w:divBdr>
                </w:div>
              </w:divsChild>
            </w:div>
            <w:div w:id="232350055">
              <w:marLeft w:val="0"/>
              <w:marRight w:val="0"/>
              <w:marTop w:val="0"/>
              <w:marBottom w:val="0"/>
              <w:divBdr>
                <w:top w:val="none" w:sz="0" w:space="0" w:color="auto"/>
                <w:left w:val="none" w:sz="0" w:space="0" w:color="auto"/>
                <w:bottom w:val="none" w:sz="0" w:space="0" w:color="auto"/>
                <w:right w:val="none" w:sz="0" w:space="0" w:color="auto"/>
              </w:divBdr>
              <w:divsChild>
                <w:div w:id="266352537">
                  <w:marLeft w:val="0"/>
                  <w:marRight w:val="0"/>
                  <w:marTop w:val="0"/>
                  <w:marBottom w:val="0"/>
                  <w:divBdr>
                    <w:top w:val="none" w:sz="0" w:space="0" w:color="auto"/>
                    <w:left w:val="none" w:sz="0" w:space="0" w:color="auto"/>
                    <w:bottom w:val="none" w:sz="0" w:space="0" w:color="auto"/>
                    <w:right w:val="none" w:sz="0" w:space="0" w:color="auto"/>
                  </w:divBdr>
                </w:div>
                <w:div w:id="5053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6265">
          <w:marLeft w:val="0"/>
          <w:marRight w:val="0"/>
          <w:marTop w:val="0"/>
          <w:marBottom w:val="0"/>
          <w:divBdr>
            <w:top w:val="none" w:sz="0" w:space="0" w:color="auto"/>
            <w:left w:val="none" w:sz="0" w:space="0" w:color="auto"/>
            <w:bottom w:val="none" w:sz="0" w:space="0" w:color="auto"/>
            <w:right w:val="none" w:sz="0" w:space="0" w:color="auto"/>
          </w:divBdr>
        </w:div>
        <w:div w:id="1947230137">
          <w:marLeft w:val="0"/>
          <w:marRight w:val="0"/>
          <w:marTop w:val="0"/>
          <w:marBottom w:val="0"/>
          <w:divBdr>
            <w:top w:val="none" w:sz="0" w:space="0" w:color="auto"/>
            <w:left w:val="none" w:sz="0" w:space="0" w:color="auto"/>
            <w:bottom w:val="none" w:sz="0" w:space="0" w:color="auto"/>
            <w:right w:val="none" w:sz="0" w:space="0" w:color="auto"/>
          </w:divBdr>
          <w:divsChild>
            <w:div w:id="266617992">
              <w:marLeft w:val="0"/>
              <w:marRight w:val="0"/>
              <w:marTop w:val="0"/>
              <w:marBottom w:val="0"/>
              <w:divBdr>
                <w:top w:val="none" w:sz="0" w:space="0" w:color="auto"/>
                <w:left w:val="none" w:sz="0" w:space="0" w:color="auto"/>
                <w:bottom w:val="none" w:sz="0" w:space="0" w:color="auto"/>
                <w:right w:val="none" w:sz="0" w:space="0" w:color="auto"/>
              </w:divBdr>
              <w:divsChild>
                <w:div w:id="766777196">
                  <w:marLeft w:val="0"/>
                  <w:marRight w:val="0"/>
                  <w:marTop w:val="0"/>
                  <w:marBottom w:val="0"/>
                  <w:divBdr>
                    <w:top w:val="none" w:sz="0" w:space="0" w:color="auto"/>
                    <w:left w:val="none" w:sz="0" w:space="0" w:color="auto"/>
                    <w:bottom w:val="none" w:sz="0" w:space="0" w:color="auto"/>
                    <w:right w:val="none" w:sz="0" w:space="0" w:color="auto"/>
                  </w:divBdr>
                </w:div>
              </w:divsChild>
            </w:div>
            <w:div w:id="440419993">
              <w:marLeft w:val="0"/>
              <w:marRight w:val="0"/>
              <w:marTop w:val="0"/>
              <w:marBottom w:val="0"/>
              <w:divBdr>
                <w:top w:val="none" w:sz="0" w:space="0" w:color="auto"/>
                <w:left w:val="none" w:sz="0" w:space="0" w:color="auto"/>
                <w:bottom w:val="none" w:sz="0" w:space="0" w:color="auto"/>
                <w:right w:val="none" w:sz="0" w:space="0" w:color="auto"/>
              </w:divBdr>
              <w:divsChild>
                <w:div w:id="806509012">
                  <w:marLeft w:val="0"/>
                  <w:marRight w:val="0"/>
                  <w:marTop w:val="0"/>
                  <w:marBottom w:val="0"/>
                  <w:divBdr>
                    <w:top w:val="none" w:sz="0" w:space="0" w:color="auto"/>
                    <w:left w:val="none" w:sz="0" w:space="0" w:color="auto"/>
                    <w:bottom w:val="none" w:sz="0" w:space="0" w:color="auto"/>
                    <w:right w:val="none" w:sz="0" w:space="0" w:color="auto"/>
                  </w:divBdr>
                </w:div>
                <w:div w:id="127054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63375">
          <w:marLeft w:val="0"/>
          <w:marRight w:val="0"/>
          <w:marTop w:val="0"/>
          <w:marBottom w:val="0"/>
          <w:divBdr>
            <w:top w:val="none" w:sz="0" w:space="0" w:color="auto"/>
            <w:left w:val="none" w:sz="0" w:space="0" w:color="auto"/>
            <w:bottom w:val="none" w:sz="0" w:space="0" w:color="auto"/>
            <w:right w:val="none" w:sz="0" w:space="0" w:color="auto"/>
          </w:divBdr>
          <w:divsChild>
            <w:div w:id="1033649884">
              <w:marLeft w:val="0"/>
              <w:marRight w:val="0"/>
              <w:marTop w:val="0"/>
              <w:marBottom w:val="0"/>
              <w:divBdr>
                <w:top w:val="none" w:sz="0" w:space="0" w:color="auto"/>
                <w:left w:val="none" w:sz="0" w:space="0" w:color="auto"/>
                <w:bottom w:val="none" w:sz="0" w:space="0" w:color="auto"/>
                <w:right w:val="none" w:sz="0" w:space="0" w:color="auto"/>
              </w:divBdr>
              <w:divsChild>
                <w:div w:id="1854494681">
                  <w:marLeft w:val="0"/>
                  <w:marRight w:val="0"/>
                  <w:marTop w:val="0"/>
                  <w:marBottom w:val="0"/>
                  <w:divBdr>
                    <w:top w:val="none" w:sz="0" w:space="0" w:color="auto"/>
                    <w:left w:val="none" w:sz="0" w:space="0" w:color="auto"/>
                    <w:bottom w:val="none" w:sz="0" w:space="0" w:color="auto"/>
                    <w:right w:val="none" w:sz="0" w:space="0" w:color="auto"/>
                  </w:divBdr>
                </w:div>
              </w:divsChild>
            </w:div>
            <w:div w:id="522010636">
              <w:marLeft w:val="0"/>
              <w:marRight w:val="0"/>
              <w:marTop w:val="0"/>
              <w:marBottom w:val="0"/>
              <w:divBdr>
                <w:top w:val="none" w:sz="0" w:space="0" w:color="auto"/>
                <w:left w:val="none" w:sz="0" w:space="0" w:color="auto"/>
                <w:bottom w:val="none" w:sz="0" w:space="0" w:color="auto"/>
                <w:right w:val="none" w:sz="0" w:space="0" w:color="auto"/>
              </w:divBdr>
              <w:divsChild>
                <w:div w:id="220941011">
                  <w:marLeft w:val="0"/>
                  <w:marRight w:val="0"/>
                  <w:marTop w:val="0"/>
                  <w:marBottom w:val="0"/>
                  <w:divBdr>
                    <w:top w:val="none" w:sz="0" w:space="0" w:color="auto"/>
                    <w:left w:val="none" w:sz="0" w:space="0" w:color="auto"/>
                    <w:bottom w:val="none" w:sz="0" w:space="0" w:color="auto"/>
                    <w:right w:val="none" w:sz="0" w:space="0" w:color="auto"/>
                  </w:divBdr>
                </w:div>
              </w:divsChild>
            </w:div>
            <w:div w:id="51273586">
              <w:marLeft w:val="0"/>
              <w:marRight w:val="0"/>
              <w:marTop w:val="0"/>
              <w:marBottom w:val="0"/>
              <w:divBdr>
                <w:top w:val="none" w:sz="0" w:space="0" w:color="auto"/>
                <w:left w:val="none" w:sz="0" w:space="0" w:color="auto"/>
                <w:bottom w:val="none" w:sz="0" w:space="0" w:color="auto"/>
                <w:right w:val="none" w:sz="0" w:space="0" w:color="auto"/>
              </w:divBdr>
              <w:divsChild>
                <w:div w:id="59251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1157">
          <w:marLeft w:val="0"/>
          <w:marRight w:val="0"/>
          <w:marTop w:val="0"/>
          <w:marBottom w:val="0"/>
          <w:divBdr>
            <w:top w:val="none" w:sz="0" w:space="0" w:color="auto"/>
            <w:left w:val="none" w:sz="0" w:space="0" w:color="auto"/>
            <w:bottom w:val="none" w:sz="0" w:space="0" w:color="auto"/>
            <w:right w:val="none" w:sz="0" w:space="0" w:color="auto"/>
          </w:divBdr>
        </w:div>
        <w:div w:id="1687363163">
          <w:marLeft w:val="0"/>
          <w:marRight w:val="0"/>
          <w:marTop w:val="0"/>
          <w:marBottom w:val="0"/>
          <w:divBdr>
            <w:top w:val="none" w:sz="0" w:space="0" w:color="auto"/>
            <w:left w:val="none" w:sz="0" w:space="0" w:color="auto"/>
            <w:bottom w:val="none" w:sz="0" w:space="0" w:color="auto"/>
            <w:right w:val="none" w:sz="0" w:space="0" w:color="auto"/>
          </w:divBdr>
        </w:div>
        <w:div w:id="277613154">
          <w:marLeft w:val="0"/>
          <w:marRight w:val="0"/>
          <w:marTop w:val="0"/>
          <w:marBottom w:val="0"/>
          <w:divBdr>
            <w:top w:val="none" w:sz="0" w:space="0" w:color="auto"/>
            <w:left w:val="none" w:sz="0" w:space="0" w:color="auto"/>
            <w:bottom w:val="none" w:sz="0" w:space="0" w:color="auto"/>
            <w:right w:val="none" w:sz="0" w:space="0" w:color="auto"/>
          </w:divBdr>
        </w:div>
        <w:div w:id="1746534423">
          <w:marLeft w:val="0"/>
          <w:marRight w:val="0"/>
          <w:marTop w:val="0"/>
          <w:marBottom w:val="0"/>
          <w:divBdr>
            <w:top w:val="none" w:sz="0" w:space="0" w:color="auto"/>
            <w:left w:val="none" w:sz="0" w:space="0" w:color="auto"/>
            <w:bottom w:val="none" w:sz="0" w:space="0" w:color="auto"/>
            <w:right w:val="none" w:sz="0" w:space="0" w:color="auto"/>
          </w:divBdr>
        </w:div>
        <w:div w:id="77678638">
          <w:marLeft w:val="0"/>
          <w:marRight w:val="0"/>
          <w:marTop w:val="0"/>
          <w:marBottom w:val="0"/>
          <w:divBdr>
            <w:top w:val="none" w:sz="0" w:space="0" w:color="auto"/>
            <w:left w:val="none" w:sz="0" w:space="0" w:color="auto"/>
            <w:bottom w:val="none" w:sz="0" w:space="0" w:color="auto"/>
            <w:right w:val="none" w:sz="0" w:space="0" w:color="auto"/>
          </w:divBdr>
        </w:div>
        <w:div w:id="645817520">
          <w:marLeft w:val="0"/>
          <w:marRight w:val="0"/>
          <w:marTop w:val="0"/>
          <w:marBottom w:val="0"/>
          <w:divBdr>
            <w:top w:val="none" w:sz="0" w:space="0" w:color="auto"/>
            <w:left w:val="none" w:sz="0" w:space="0" w:color="auto"/>
            <w:bottom w:val="none" w:sz="0" w:space="0" w:color="auto"/>
            <w:right w:val="none" w:sz="0" w:space="0" w:color="auto"/>
          </w:divBdr>
        </w:div>
        <w:div w:id="995305202">
          <w:marLeft w:val="0"/>
          <w:marRight w:val="0"/>
          <w:marTop w:val="0"/>
          <w:marBottom w:val="0"/>
          <w:divBdr>
            <w:top w:val="none" w:sz="0" w:space="0" w:color="auto"/>
            <w:left w:val="none" w:sz="0" w:space="0" w:color="auto"/>
            <w:bottom w:val="none" w:sz="0" w:space="0" w:color="auto"/>
            <w:right w:val="none" w:sz="0" w:space="0" w:color="auto"/>
          </w:divBdr>
          <w:divsChild>
            <w:div w:id="1444764290">
              <w:marLeft w:val="0"/>
              <w:marRight w:val="0"/>
              <w:marTop w:val="0"/>
              <w:marBottom w:val="0"/>
              <w:divBdr>
                <w:top w:val="none" w:sz="0" w:space="0" w:color="auto"/>
                <w:left w:val="none" w:sz="0" w:space="0" w:color="auto"/>
                <w:bottom w:val="none" w:sz="0" w:space="0" w:color="auto"/>
                <w:right w:val="none" w:sz="0" w:space="0" w:color="auto"/>
              </w:divBdr>
              <w:divsChild>
                <w:div w:id="1424376572">
                  <w:marLeft w:val="0"/>
                  <w:marRight w:val="0"/>
                  <w:marTop w:val="0"/>
                  <w:marBottom w:val="0"/>
                  <w:divBdr>
                    <w:top w:val="none" w:sz="0" w:space="0" w:color="auto"/>
                    <w:left w:val="none" w:sz="0" w:space="0" w:color="auto"/>
                    <w:bottom w:val="none" w:sz="0" w:space="0" w:color="auto"/>
                    <w:right w:val="none" w:sz="0" w:space="0" w:color="auto"/>
                  </w:divBdr>
                </w:div>
              </w:divsChild>
            </w:div>
            <w:div w:id="1134298501">
              <w:marLeft w:val="0"/>
              <w:marRight w:val="0"/>
              <w:marTop w:val="0"/>
              <w:marBottom w:val="0"/>
              <w:divBdr>
                <w:top w:val="none" w:sz="0" w:space="0" w:color="auto"/>
                <w:left w:val="none" w:sz="0" w:space="0" w:color="auto"/>
                <w:bottom w:val="none" w:sz="0" w:space="0" w:color="auto"/>
                <w:right w:val="none" w:sz="0" w:space="0" w:color="auto"/>
              </w:divBdr>
              <w:divsChild>
                <w:div w:id="1215658417">
                  <w:marLeft w:val="0"/>
                  <w:marRight w:val="0"/>
                  <w:marTop w:val="0"/>
                  <w:marBottom w:val="0"/>
                  <w:divBdr>
                    <w:top w:val="none" w:sz="0" w:space="0" w:color="auto"/>
                    <w:left w:val="none" w:sz="0" w:space="0" w:color="auto"/>
                    <w:bottom w:val="none" w:sz="0" w:space="0" w:color="auto"/>
                    <w:right w:val="none" w:sz="0" w:space="0" w:color="auto"/>
                  </w:divBdr>
                </w:div>
                <w:div w:id="6268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68664">
          <w:marLeft w:val="0"/>
          <w:marRight w:val="0"/>
          <w:marTop w:val="0"/>
          <w:marBottom w:val="0"/>
          <w:divBdr>
            <w:top w:val="none" w:sz="0" w:space="0" w:color="auto"/>
            <w:left w:val="none" w:sz="0" w:space="0" w:color="auto"/>
            <w:bottom w:val="none" w:sz="0" w:space="0" w:color="auto"/>
            <w:right w:val="none" w:sz="0" w:space="0" w:color="auto"/>
          </w:divBdr>
        </w:div>
        <w:div w:id="1656181859">
          <w:marLeft w:val="0"/>
          <w:marRight w:val="0"/>
          <w:marTop w:val="0"/>
          <w:marBottom w:val="0"/>
          <w:divBdr>
            <w:top w:val="none" w:sz="0" w:space="0" w:color="auto"/>
            <w:left w:val="none" w:sz="0" w:space="0" w:color="auto"/>
            <w:bottom w:val="none" w:sz="0" w:space="0" w:color="auto"/>
            <w:right w:val="none" w:sz="0" w:space="0" w:color="auto"/>
          </w:divBdr>
        </w:div>
        <w:div w:id="2005468368">
          <w:marLeft w:val="0"/>
          <w:marRight w:val="0"/>
          <w:marTop w:val="0"/>
          <w:marBottom w:val="0"/>
          <w:divBdr>
            <w:top w:val="none" w:sz="0" w:space="0" w:color="auto"/>
            <w:left w:val="none" w:sz="0" w:space="0" w:color="auto"/>
            <w:bottom w:val="none" w:sz="0" w:space="0" w:color="auto"/>
            <w:right w:val="none" w:sz="0" w:space="0" w:color="auto"/>
          </w:divBdr>
        </w:div>
        <w:div w:id="1451437838">
          <w:marLeft w:val="0"/>
          <w:marRight w:val="0"/>
          <w:marTop w:val="0"/>
          <w:marBottom w:val="0"/>
          <w:divBdr>
            <w:top w:val="none" w:sz="0" w:space="0" w:color="auto"/>
            <w:left w:val="none" w:sz="0" w:space="0" w:color="auto"/>
            <w:bottom w:val="none" w:sz="0" w:space="0" w:color="auto"/>
            <w:right w:val="none" w:sz="0" w:space="0" w:color="auto"/>
          </w:divBdr>
          <w:divsChild>
            <w:div w:id="1551110214">
              <w:marLeft w:val="0"/>
              <w:marRight w:val="0"/>
              <w:marTop w:val="0"/>
              <w:marBottom w:val="0"/>
              <w:divBdr>
                <w:top w:val="none" w:sz="0" w:space="0" w:color="auto"/>
                <w:left w:val="none" w:sz="0" w:space="0" w:color="auto"/>
                <w:bottom w:val="none" w:sz="0" w:space="0" w:color="auto"/>
                <w:right w:val="none" w:sz="0" w:space="0" w:color="auto"/>
              </w:divBdr>
              <w:divsChild>
                <w:div w:id="640113176">
                  <w:marLeft w:val="0"/>
                  <w:marRight w:val="0"/>
                  <w:marTop w:val="0"/>
                  <w:marBottom w:val="0"/>
                  <w:divBdr>
                    <w:top w:val="none" w:sz="0" w:space="0" w:color="auto"/>
                    <w:left w:val="none" w:sz="0" w:space="0" w:color="auto"/>
                    <w:bottom w:val="none" w:sz="0" w:space="0" w:color="auto"/>
                    <w:right w:val="none" w:sz="0" w:space="0" w:color="auto"/>
                  </w:divBdr>
                </w:div>
              </w:divsChild>
            </w:div>
            <w:div w:id="2120177078">
              <w:marLeft w:val="0"/>
              <w:marRight w:val="0"/>
              <w:marTop w:val="0"/>
              <w:marBottom w:val="0"/>
              <w:divBdr>
                <w:top w:val="none" w:sz="0" w:space="0" w:color="auto"/>
                <w:left w:val="none" w:sz="0" w:space="0" w:color="auto"/>
                <w:bottom w:val="none" w:sz="0" w:space="0" w:color="auto"/>
                <w:right w:val="none" w:sz="0" w:space="0" w:color="auto"/>
              </w:divBdr>
              <w:divsChild>
                <w:div w:id="1497577307">
                  <w:marLeft w:val="0"/>
                  <w:marRight w:val="0"/>
                  <w:marTop w:val="0"/>
                  <w:marBottom w:val="0"/>
                  <w:divBdr>
                    <w:top w:val="none" w:sz="0" w:space="0" w:color="auto"/>
                    <w:left w:val="none" w:sz="0" w:space="0" w:color="auto"/>
                    <w:bottom w:val="none" w:sz="0" w:space="0" w:color="auto"/>
                    <w:right w:val="none" w:sz="0" w:space="0" w:color="auto"/>
                  </w:divBdr>
                </w:div>
                <w:div w:id="11818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17031">
          <w:marLeft w:val="0"/>
          <w:marRight w:val="0"/>
          <w:marTop w:val="0"/>
          <w:marBottom w:val="0"/>
          <w:divBdr>
            <w:top w:val="none" w:sz="0" w:space="0" w:color="auto"/>
            <w:left w:val="none" w:sz="0" w:space="0" w:color="auto"/>
            <w:bottom w:val="none" w:sz="0" w:space="0" w:color="auto"/>
            <w:right w:val="none" w:sz="0" w:space="0" w:color="auto"/>
          </w:divBdr>
          <w:divsChild>
            <w:div w:id="2065253195">
              <w:marLeft w:val="0"/>
              <w:marRight w:val="0"/>
              <w:marTop w:val="0"/>
              <w:marBottom w:val="0"/>
              <w:divBdr>
                <w:top w:val="none" w:sz="0" w:space="0" w:color="auto"/>
                <w:left w:val="none" w:sz="0" w:space="0" w:color="auto"/>
                <w:bottom w:val="none" w:sz="0" w:space="0" w:color="auto"/>
                <w:right w:val="none" w:sz="0" w:space="0" w:color="auto"/>
              </w:divBdr>
              <w:divsChild>
                <w:div w:id="1367875025">
                  <w:marLeft w:val="0"/>
                  <w:marRight w:val="0"/>
                  <w:marTop w:val="0"/>
                  <w:marBottom w:val="0"/>
                  <w:divBdr>
                    <w:top w:val="none" w:sz="0" w:space="0" w:color="auto"/>
                    <w:left w:val="none" w:sz="0" w:space="0" w:color="auto"/>
                    <w:bottom w:val="none" w:sz="0" w:space="0" w:color="auto"/>
                    <w:right w:val="none" w:sz="0" w:space="0" w:color="auto"/>
                  </w:divBdr>
                </w:div>
              </w:divsChild>
            </w:div>
            <w:div w:id="84230905">
              <w:marLeft w:val="0"/>
              <w:marRight w:val="0"/>
              <w:marTop w:val="0"/>
              <w:marBottom w:val="0"/>
              <w:divBdr>
                <w:top w:val="none" w:sz="0" w:space="0" w:color="auto"/>
                <w:left w:val="none" w:sz="0" w:space="0" w:color="auto"/>
                <w:bottom w:val="none" w:sz="0" w:space="0" w:color="auto"/>
                <w:right w:val="none" w:sz="0" w:space="0" w:color="auto"/>
              </w:divBdr>
              <w:divsChild>
                <w:div w:id="610939766">
                  <w:marLeft w:val="0"/>
                  <w:marRight w:val="0"/>
                  <w:marTop w:val="0"/>
                  <w:marBottom w:val="0"/>
                  <w:divBdr>
                    <w:top w:val="none" w:sz="0" w:space="0" w:color="auto"/>
                    <w:left w:val="none" w:sz="0" w:space="0" w:color="auto"/>
                    <w:bottom w:val="none" w:sz="0" w:space="0" w:color="auto"/>
                    <w:right w:val="none" w:sz="0" w:space="0" w:color="auto"/>
                  </w:divBdr>
                </w:div>
                <w:div w:id="11712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2830">
          <w:marLeft w:val="0"/>
          <w:marRight w:val="0"/>
          <w:marTop w:val="0"/>
          <w:marBottom w:val="0"/>
          <w:divBdr>
            <w:top w:val="none" w:sz="0" w:space="0" w:color="auto"/>
            <w:left w:val="none" w:sz="0" w:space="0" w:color="auto"/>
            <w:bottom w:val="none" w:sz="0" w:space="0" w:color="auto"/>
            <w:right w:val="none" w:sz="0" w:space="0" w:color="auto"/>
          </w:divBdr>
        </w:div>
        <w:div w:id="1653168738">
          <w:marLeft w:val="0"/>
          <w:marRight w:val="0"/>
          <w:marTop w:val="0"/>
          <w:marBottom w:val="0"/>
          <w:divBdr>
            <w:top w:val="none" w:sz="0" w:space="0" w:color="auto"/>
            <w:left w:val="none" w:sz="0" w:space="0" w:color="auto"/>
            <w:bottom w:val="none" w:sz="0" w:space="0" w:color="auto"/>
            <w:right w:val="none" w:sz="0" w:space="0" w:color="auto"/>
          </w:divBdr>
        </w:div>
        <w:div w:id="370686926">
          <w:marLeft w:val="0"/>
          <w:marRight w:val="0"/>
          <w:marTop w:val="0"/>
          <w:marBottom w:val="0"/>
          <w:divBdr>
            <w:top w:val="none" w:sz="0" w:space="0" w:color="auto"/>
            <w:left w:val="none" w:sz="0" w:space="0" w:color="auto"/>
            <w:bottom w:val="none" w:sz="0" w:space="0" w:color="auto"/>
            <w:right w:val="none" w:sz="0" w:space="0" w:color="auto"/>
          </w:divBdr>
        </w:div>
        <w:div w:id="1413772762">
          <w:marLeft w:val="0"/>
          <w:marRight w:val="0"/>
          <w:marTop w:val="0"/>
          <w:marBottom w:val="0"/>
          <w:divBdr>
            <w:top w:val="none" w:sz="0" w:space="0" w:color="auto"/>
            <w:left w:val="none" w:sz="0" w:space="0" w:color="auto"/>
            <w:bottom w:val="none" w:sz="0" w:space="0" w:color="auto"/>
            <w:right w:val="none" w:sz="0" w:space="0" w:color="auto"/>
          </w:divBdr>
          <w:divsChild>
            <w:div w:id="896014796">
              <w:marLeft w:val="0"/>
              <w:marRight w:val="0"/>
              <w:marTop w:val="0"/>
              <w:marBottom w:val="0"/>
              <w:divBdr>
                <w:top w:val="none" w:sz="0" w:space="0" w:color="auto"/>
                <w:left w:val="none" w:sz="0" w:space="0" w:color="auto"/>
                <w:bottom w:val="none" w:sz="0" w:space="0" w:color="auto"/>
                <w:right w:val="none" w:sz="0" w:space="0" w:color="auto"/>
              </w:divBdr>
              <w:divsChild>
                <w:div w:id="1919248903">
                  <w:marLeft w:val="0"/>
                  <w:marRight w:val="0"/>
                  <w:marTop w:val="0"/>
                  <w:marBottom w:val="0"/>
                  <w:divBdr>
                    <w:top w:val="none" w:sz="0" w:space="0" w:color="auto"/>
                    <w:left w:val="none" w:sz="0" w:space="0" w:color="auto"/>
                    <w:bottom w:val="none" w:sz="0" w:space="0" w:color="auto"/>
                    <w:right w:val="none" w:sz="0" w:space="0" w:color="auto"/>
                  </w:divBdr>
                </w:div>
              </w:divsChild>
            </w:div>
            <w:div w:id="541480821">
              <w:marLeft w:val="0"/>
              <w:marRight w:val="0"/>
              <w:marTop w:val="0"/>
              <w:marBottom w:val="0"/>
              <w:divBdr>
                <w:top w:val="none" w:sz="0" w:space="0" w:color="auto"/>
                <w:left w:val="none" w:sz="0" w:space="0" w:color="auto"/>
                <w:bottom w:val="none" w:sz="0" w:space="0" w:color="auto"/>
                <w:right w:val="none" w:sz="0" w:space="0" w:color="auto"/>
              </w:divBdr>
              <w:divsChild>
                <w:div w:id="104880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61764">
          <w:marLeft w:val="0"/>
          <w:marRight w:val="0"/>
          <w:marTop w:val="0"/>
          <w:marBottom w:val="0"/>
          <w:divBdr>
            <w:top w:val="none" w:sz="0" w:space="0" w:color="auto"/>
            <w:left w:val="none" w:sz="0" w:space="0" w:color="auto"/>
            <w:bottom w:val="none" w:sz="0" w:space="0" w:color="auto"/>
            <w:right w:val="none" w:sz="0" w:space="0" w:color="auto"/>
          </w:divBdr>
          <w:divsChild>
            <w:div w:id="1960642048">
              <w:marLeft w:val="0"/>
              <w:marRight w:val="0"/>
              <w:marTop w:val="0"/>
              <w:marBottom w:val="0"/>
              <w:divBdr>
                <w:top w:val="none" w:sz="0" w:space="0" w:color="auto"/>
                <w:left w:val="none" w:sz="0" w:space="0" w:color="auto"/>
                <w:bottom w:val="none" w:sz="0" w:space="0" w:color="auto"/>
                <w:right w:val="none" w:sz="0" w:space="0" w:color="auto"/>
              </w:divBdr>
              <w:divsChild>
                <w:div w:id="1157845554">
                  <w:marLeft w:val="0"/>
                  <w:marRight w:val="0"/>
                  <w:marTop w:val="0"/>
                  <w:marBottom w:val="0"/>
                  <w:divBdr>
                    <w:top w:val="none" w:sz="0" w:space="0" w:color="auto"/>
                    <w:left w:val="none" w:sz="0" w:space="0" w:color="auto"/>
                    <w:bottom w:val="none" w:sz="0" w:space="0" w:color="auto"/>
                    <w:right w:val="none" w:sz="0" w:space="0" w:color="auto"/>
                  </w:divBdr>
                </w:div>
              </w:divsChild>
            </w:div>
            <w:div w:id="1494756933">
              <w:marLeft w:val="0"/>
              <w:marRight w:val="0"/>
              <w:marTop w:val="0"/>
              <w:marBottom w:val="0"/>
              <w:divBdr>
                <w:top w:val="none" w:sz="0" w:space="0" w:color="auto"/>
                <w:left w:val="none" w:sz="0" w:space="0" w:color="auto"/>
                <w:bottom w:val="none" w:sz="0" w:space="0" w:color="auto"/>
                <w:right w:val="none" w:sz="0" w:space="0" w:color="auto"/>
              </w:divBdr>
              <w:divsChild>
                <w:div w:id="814684609">
                  <w:marLeft w:val="0"/>
                  <w:marRight w:val="0"/>
                  <w:marTop w:val="0"/>
                  <w:marBottom w:val="0"/>
                  <w:divBdr>
                    <w:top w:val="none" w:sz="0" w:space="0" w:color="auto"/>
                    <w:left w:val="none" w:sz="0" w:space="0" w:color="auto"/>
                    <w:bottom w:val="none" w:sz="0" w:space="0" w:color="auto"/>
                    <w:right w:val="none" w:sz="0" w:space="0" w:color="auto"/>
                  </w:divBdr>
                </w:div>
                <w:div w:id="734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9873">
          <w:marLeft w:val="0"/>
          <w:marRight w:val="0"/>
          <w:marTop w:val="0"/>
          <w:marBottom w:val="0"/>
          <w:divBdr>
            <w:top w:val="none" w:sz="0" w:space="0" w:color="auto"/>
            <w:left w:val="none" w:sz="0" w:space="0" w:color="auto"/>
            <w:bottom w:val="none" w:sz="0" w:space="0" w:color="auto"/>
            <w:right w:val="none" w:sz="0" w:space="0" w:color="auto"/>
          </w:divBdr>
        </w:div>
        <w:div w:id="639068691">
          <w:marLeft w:val="0"/>
          <w:marRight w:val="0"/>
          <w:marTop w:val="0"/>
          <w:marBottom w:val="0"/>
          <w:divBdr>
            <w:top w:val="none" w:sz="0" w:space="0" w:color="auto"/>
            <w:left w:val="none" w:sz="0" w:space="0" w:color="auto"/>
            <w:bottom w:val="none" w:sz="0" w:space="0" w:color="auto"/>
            <w:right w:val="none" w:sz="0" w:space="0" w:color="auto"/>
          </w:divBdr>
        </w:div>
        <w:div w:id="648217290">
          <w:marLeft w:val="0"/>
          <w:marRight w:val="0"/>
          <w:marTop w:val="0"/>
          <w:marBottom w:val="0"/>
          <w:divBdr>
            <w:top w:val="none" w:sz="0" w:space="0" w:color="auto"/>
            <w:left w:val="none" w:sz="0" w:space="0" w:color="auto"/>
            <w:bottom w:val="none" w:sz="0" w:space="0" w:color="auto"/>
            <w:right w:val="none" w:sz="0" w:space="0" w:color="auto"/>
          </w:divBdr>
          <w:divsChild>
            <w:div w:id="84230467">
              <w:marLeft w:val="0"/>
              <w:marRight w:val="0"/>
              <w:marTop w:val="0"/>
              <w:marBottom w:val="0"/>
              <w:divBdr>
                <w:top w:val="none" w:sz="0" w:space="0" w:color="auto"/>
                <w:left w:val="none" w:sz="0" w:space="0" w:color="auto"/>
                <w:bottom w:val="none" w:sz="0" w:space="0" w:color="auto"/>
                <w:right w:val="none" w:sz="0" w:space="0" w:color="auto"/>
              </w:divBdr>
              <w:divsChild>
                <w:div w:id="1923558964">
                  <w:marLeft w:val="0"/>
                  <w:marRight w:val="0"/>
                  <w:marTop w:val="0"/>
                  <w:marBottom w:val="0"/>
                  <w:divBdr>
                    <w:top w:val="none" w:sz="0" w:space="0" w:color="auto"/>
                    <w:left w:val="none" w:sz="0" w:space="0" w:color="auto"/>
                    <w:bottom w:val="none" w:sz="0" w:space="0" w:color="auto"/>
                    <w:right w:val="none" w:sz="0" w:space="0" w:color="auto"/>
                  </w:divBdr>
                </w:div>
              </w:divsChild>
            </w:div>
            <w:div w:id="809786582">
              <w:marLeft w:val="0"/>
              <w:marRight w:val="0"/>
              <w:marTop w:val="0"/>
              <w:marBottom w:val="0"/>
              <w:divBdr>
                <w:top w:val="none" w:sz="0" w:space="0" w:color="auto"/>
                <w:left w:val="none" w:sz="0" w:space="0" w:color="auto"/>
                <w:bottom w:val="none" w:sz="0" w:space="0" w:color="auto"/>
                <w:right w:val="none" w:sz="0" w:space="0" w:color="auto"/>
              </w:divBdr>
              <w:divsChild>
                <w:div w:id="130095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89620">
          <w:marLeft w:val="0"/>
          <w:marRight w:val="0"/>
          <w:marTop w:val="0"/>
          <w:marBottom w:val="0"/>
          <w:divBdr>
            <w:top w:val="none" w:sz="0" w:space="0" w:color="auto"/>
            <w:left w:val="none" w:sz="0" w:space="0" w:color="auto"/>
            <w:bottom w:val="none" w:sz="0" w:space="0" w:color="auto"/>
            <w:right w:val="none" w:sz="0" w:space="0" w:color="auto"/>
          </w:divBdr>
          <w:divsChild>
            <w:div w:id="532038013">
              <w:marLeft w:val="0"/>
              <w:marRight w:val="0"/>
              <w:marTop w:val="0"/>
              <w:marBottom w:val="0"/>
              <w:divBdr>
                <w:top w:val="none" w:sz="0" w:space="0" w:color="auto"/>
                <w:left w:val="none" w:sz="0" w:space="0" w:color="auto"/>
                <w:bottom w:val="none" w:sz="0" w:space="0" w:color="auto"/>
                <w:right w:val="none" w:sz="0" w:space="0" w:color="auto"/>
              </w:divBdr>
              <w:divsChild>
                <w:div w:id="175967718">
                  <w:marLeft w:val="0"/>
                  <w:marRight w:val="0"/>
                  <w:marTop w:val="0"/>
                  <w:marBottom w:val="0"/>
                  <w:divBdr>
                    <w:top w:val="none" w:sz="0" w:space="0" w:color="auto"/>
                    <w:left w:val="none" w:sz="0" w:space="0" w:color="auto"/>
                    <w:bottom w:val="none" w:sz="0" w:space="0" w:color="auto"/>
                    <w:right w:val="none" w:sz="0" w:space="0" w:color="auto"/>
                  </w:divBdr>
                  <w:divsChild>
                    <w:div w:id="78210365">
                      <w:marLeft w:val="0"/>
                      <w:marRight w:val="0"/>
                      <w:marTop w:val="0"/>
                      <w:marBottom w:val="0"/>
                      <w:divBdr>
                        <w:top w:val="none" w:sz="0" w:space="0" w:color="auto"/>
                        <w:left w:val="none" w:sz="0" w:space="0" w:color="auto"/>
                        <w:bottom w:val="none" w:sz="0" w:space="0" w:color="auto"/>
                        <w:right w:val="none" w:sz="0" w:space="0" w:color="auto"/>
                      </w:divBdr>
                    </w:div>
                  </w:divsChild>
                </w:div>
                <w:div w:id="878052536">
                  <w:marLeft w:val="0"/>
                  <w:marRight w:val="0"/>
                  <w:marTop w:val="0"/>
                  <w:marBottom w:val="0"/>
                  <w:divBdr>
                    <w:top w:val="none" w:sz="0" w:space="0" w:color="auto"/>
                    <w:left w:val="none" w:sz="0" w:space="0" w:color="auto"/>
                    <w:bottom w:val="none" w:sz="0" w:space="0" w:color="auto"/>
                    <w:right w:val="none" w:sz="0" w:space="0" w:color="auto"/>
                  </w:divBdr>
                </w:div>
              </w:divsChild>
            </w:div>
            <w:div w:id="582109741">
              <w:marLeft w:val="0"/>
              <w:marRight w:val="0"/>
              <w:marTop w:val="0"/>
              <w:marBottom w:val="0"/>
              <w:divBdr>
                <w:top w:val="none" w:sz="0" w:space="0" w:color="auto"/>
                <w:left w:val="none" w:sz="0" w:space="0" w:color="auto"/>
                <w:bottom w:val="none" w:sz="0" w:space="0" w:color="auto"/>
                <w:right w:val="none" w:sz="0" w:space="0" w:color="auto"/>
              </w:divBdr>
              <w:divsChild>
                <w:div w:id="1571698285">
                  <w:marLeft w:val="0"/>
                  <w:marRight w:val="0"/>
                  <w:marTop w:val="0"/>
                  <w:marBottom w:val="0"/>
                  <w:divBdr>
                    <w:top w:val="none" w:sz="0" w:space="0" w:color="auto"/>
                    <w:left w:val="none" w:sz="0" w:space="0" w:color="auto"/>
                    <w:bottom w:val="none" w:sz="0" w:space="0" w:color="auto"/>
                    <w:right w:val="none" w:sz="0" w:space="0" w:color="auto"/>
                  </w:divBdr>
                  <w:divsChild>
                    <w:div w:id="1937130106">
                      <w:marLeft w:val="0"/>
                      <w:marRight w:val="0"/>
                      <w:marTop w:val="0"/>
                      <w:marBottom w:val="0"/>
                      <w:divBdr>
                        <w:top w:val="none" w:sz="0" w:space="0" w:color="auto"/>
                        <w:left w:val="none" w:sz="0" w:space="0" w:color="auto"/>
                        <w:bottom w:val="none" w:sz="0" w:space="0" w:color="auto"/>
                        <w:right w:val="none" w:sz="0" w:space="0" w:color="auto"/>
                      </w:divBdr>
                    </w:div>
                  </w:divsChild>
                </w:div>
                <w:div w:id="3173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9829">
          <w:marLeft w:val="0"/>
          <w:marRight w:val="0"/>
          <w:marTop w:val="0"/>
          <w:marBottom w:val="0"/>
          <w:divBdr>
            <w:top w:val="none" w:sz="0" w:space="0" w:color="auto"/>
            <w:left w:val="none" w:sz="0" w:space="0" w:color="auto"/>
            <w:bottom w:val="none" w:sz="0" w:space="0" w:color="auto"/>
            <w:right w:val="none" w:sz="0" w:space="0" w:color="auto"/>
          </w:divBdr>
          <w:divsChild>
            <w:div w:id="923607949">
              <w:marLeft w:val="0"/>
              <w:marRight w:val="0"/>
              <w:marTop w:val="0"/>
              <w:marBottom w:val="0"/>
              <w:divBdr>
                <w:top w:val="none" w:sz="0" w:space="0" w:color="auto"/>
                <w:left w:val="none" w:sz="0" w:space="0" w:color="auto"/>
                <w:bottom w:val="none" w:sz="0" w:space="0" w:color="auto"/>
                <w:right w:val="none" w:sz="0" w:space="0" w:color="auto"/>
              </w:divBdr>
              <w:divsChild>
                <w:div w:id="62530087">
                  <w:marLeft w:val="0"/>
                  <w:marRight w:val="0"/>
                  <w:marTop w:val="0"/>
                  <w:marBottom w:val="0"/>
                  <w:divBdr>
                    <w:top w:val="none" w:sz="0" w:space="0" w:color="auto"/>
                    <w:left w:val="none" w:sz="0" w:space="0" w:color="auto"/>
                    <w:bottom w:val="none" w:sz="0" w:space="0" w:color="auto"/>
                    <w:right w:val="none" w:sz="0" w:space="0" w:color="auto"/>
                  </w:divBdr>
                </w:div>
              </w:divsChild>
            </w:div>
            <w:div w:id="1069376972">
              <w:marLeft w:val="0"/>
              <w:marRight w:val="0"/>
              <w:marTop w:val="0"/>
              <w:marBottom w:val="0"/>
              <w:divBdr>
                <w:top w:val="none" w:sz="0" w:space="0" w:color="auto"/>
                <w:left w:val="none" w:sz="0" w:space="0" w:color="auto"/>
                <w:bottom w:val="none" w:sz="0" w:space="0" w:color="auto"/>
                <w:right w:val="none" w:sz="0" w:space="0" w:color="auto"/>
              </w:divBdr>
              <w:divsChild>
                <w:div w:id="1648583443">
                  <w:marLeft w:val="0"/>
                  <w:marRight w:val="0"/>
                  <w:marTop w:val="0"/>
                  <w:marBottom w:val="0"/>
                  <w:divBdr>
                    <w:top w:val="none" w:sz="0" w:space="0" w:color="auto"/>
                    <w:left w:val="none" w:sz="0" w:space="0" w:color="auto"/>
                    <w:bottom w:val="none" w:sz="0" w:space="0" w:color="auto"/>
                    <w:right w:val="none" w:sz="0" w:space="0" w:color="auto"/>
                  </w:divBdr>
                </w:div>
                <w:div w:id="2787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29977">
          <w:marLeft w:val="0"/>
          <w:marRight w:val="0"/>
          <w:marTop w:val="0"/>
          <w:marBottom w:val="0"/>
          <w:divBdr>
            <w:top w:val="none" w:sz="0" w:space="0" w:color="auto"/>
            <w:left w:val="none" w:sz="0" w:space="0" w:color="auto"/>
            <w:bottom w:val="none" w:sz="0" w:space="0" w:color="auto"/>
            <w:right w:val="none" w:sz="0" w:space="0" w:color="auto"/>
          </w:divBdr>
          <w:divsChild>
            <w:div w:id="454327709">
              <w:marLeft w:val="0"/>
              <w:marRight w:val="0"/>
              <w:marTop w:val="0"/>
              <w:marBottom w:val="0"/>
              <w:divBdr>
                <w:top w:val="none" w:sz="0" w:space="0" w:color="auto"/>
                <w:left w:val="none" w:sz="0" w:space="0" w:color="auto"/>
                <w:bottom w:val="none" w:sz="0" w:space="0" w:color="auto"/>
                <w:right w:val="none" w:sz="0" w:space="0" w:color="auto"/>
              </w:divBdr>
              <w:divsChild>
                <w:div w:id="1745757634">
                  <w:marLeft w:val="0"/>
                  <w:marRight w:val="0"/>
                  <w:marTop w:val="0"/>
                  <w:marBottom w:val="0"/>
                  <w:divBdr>
                    <w:top w:val="none" w:sz="0" w:space="0" w:color="auto"/>
                    <w:left w:val="none" w:sz="0" w:space="0" w:color="auto"/>
                    <w:bottom w:val="none" w:sz="0" w:space="0" w:color="auto"/>
                    <w:right w:val="none" w:sz="0" w:space="0" w:color="auto"/>
                  </w:divBdr>
                  <w:divsChild>
                    <w:div w:id="813523113">
                      <w:marLeft w:val="0"/>
                      <w:marRight w:val="0"/>
                      <w:marTop w:val="0"/>
                      <w:marBottom w:val="0"/>
                      <w:divBdr>
                        <w:top w:val="none" w:sz="0" w:space="0" w:color="auto"/>
                        <w:left w:val="none" w:sz="0" w:space="0" w:color="auto"/>
                        <w:bottom w:val="none" w:sz="0" w:space="0" w:color="auto"/>
                        <w:right w:val="none" w:sz="0" w:space="0" w:color="auto"/>
                      </w:divBdr>
                    </w:div>
                  </w:divsChild>
                </w:div>
                <w:div w:id="586154418">
                  <w:marLeft w:val="0"/>
                  <w:marRight w:val="0"/>
                  <w:marTop w:val="0"/>
                  <w:marBottom w:val="0"/>
                  <w:divBdr>
                    <w:top w:val="none" w:sz="0" w:space="0" w:color="auto"/>
                    <w:left w:val="none" w:sz="0" w:space="0" w:color="auto"/>
                    <w:bottom w:val="none" w:sz="0" w:space="0" w:color="auto"/>
                    <w:right w:val="none" w:sz="0" w:space="0" w:color="auto"/>
                  </w:divBdr>
                </w:div>
              </w:divsChild>
            </w:div>
            <w:div w:id="1178887547">
              <w:marLeft w:val="0"/>
              <w:marRight w:val="0"/>
              <w:marTop w:val="0"/>
              <w:marBottom w:val="0"/>
              <w:divBdr>
                <w:top w:val="none" w:sz="0" w:space="0" w:color="auto"/>
                <w:left w:val="none" w:sz="0" w:space="0" w:color="auto"/>
                <w:bottom w:val="none" w:sz="0" w:space="0" w:color="auto"/>
                <w:right w:val="none" w:sz="0" w:space="0" w:color="auto"/>
              </w:divBdr>
              <w:divsChild>
                <w:div w:id="436675463">
                  <w:marLeft w:val="0"/>
                  <w:marRight w:val="0"/>
                  <w:marTop w:val="0"/>
                  <w:marBottom w:val="0"/>
                  <w:divBdr>
                    <w:top w:val="none" w:sz="0" w:space="0" w:color="auto"/>
                    <w:left w:val="none" w:sz="0" w:space="0" w:color="auto"/>
                    <w:bottom w:val="none" w:sz="0" w:space="0" w:color="auto"/>
                    <w:right w:val="none" w:sz="0" w:space="0" w:color="auto"/>
                  </w:divBdr>
                  <w:divsChild>
                    <w:div w:id="334108968">
                      <w:marLeft w:val="0"/>
                      <w:marRight w:val="0"/>
                      <w:marTop w:val="0"/>
                      <w:marBottom w:val="0"/>
                      <w:divBdr>
                        <w:top w:val="none" w:sz="0" w:space="0" w:color="auto"/>
                        <w:left w:val="none" w:sz="0" w:space="0" w:color="auto"/>
                        <w:bottom w:val="none" w:sz="0" w:space="0" w:color="auto"/>
                        <w:right w:val="none" w:sz="0" w:space="0" w:color="auto"/>
                      </w:divBdr>
                    </w:div>
                  </w:divsChild>
                </w:div>
                <w:div w:id="2057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88747">
          <w:marLeft w:val="0"/>
          <w:marRight w:val="0"/>
          <w:marTop w:val="0"/>
          <w:marBottom w:val="0"/>
          <w:divBdr>
            <w:top w:val="none" w:sz="0" w:space="0" w:color="auto"/>
            <w:left w:val="none" w:sz="0" w:space="0" w:color="auto"/>
            <w:bottom w:val="none" w:sz="0" w:space="0" w:color="auto"/>
            <w:right w:val="none" w:sz="0" w:space="0" w:color="auto"/>
          </w:divBdr>
          <w:divsChild>
            <w:div w:id="1583105217">
              <w:marLeft w:val="0"/>
              <w:marRight w:val="0"/>
              <w:marTop w:val="0"/>
              <w:marBottom w:val="0"/>
              <w:divBdr>
                <w:top w:val="none" w:sz="0" w:space="0" w:color="auto"/>
                <w:left w:val="none" w:sz="0" w:space="0" w:color="auto"/>
                <w:bottom w:val="none" w:sz="0" w:space="0" w:color="auto"/>
                <w:right w:val="none" w:sz="0" w:space="0" w:color="auto"/>
              </w:divBdr>
              <w:divsChild>
                <w:div w:id="1993021814">
                  <w:marLeft w:val="0"/>
                  <w:marRight w:val="0"/>
                  <w:marTop w:val="0"/>
                  <w:marBottom w:val="0"/>
                  <w:divBdr>
                    <w:top w:val="none" w:sz="0" w:space="0" w:color="auto"/>
                    <w:left w:val="none" w:sz="0" w:space="0" w:color="auto"/>
                    <w:bottom w:val="none" w:sz="0" w:space="0" w:color="auto"/>
                    <w:right w:val="none" w:sz="0" w:space="0" w:color="auto"/>
                  </w:divBdr>
                </w:div>
              </w:divsChild>
            </w:div>
            <w:div w:id="1931627">
              <w:marLeft w:val="0"/>
              <w:marRight w:val="0"/>
              <w:marTop w:val="0"/>
              <w:marBottom w:val="0"/>
              <w:divBdr>
                <w:top w:val="none" w:sz="0" w:space="0" w:color="auto"/>
                <w:left w:val="none" w:sz="0" w:space="0" w:color="auto"/>
                <w:bottom w:val="none" w:sz="0" w:space="0" w:color="auto"/>
                <w:right w:val="none" w:sz="0" w:space="0" w:color="auto"/>
              </w:divBdr>
              <w:divsChild>
                <w:div w:id="1029985536">
                  <w:marLeft w:val="0"/>
                  <w:marRight w:val="0"/>
                  <w:marTop w:val="0"/>
                  <w:marBottom w:val="0"/>
                  <w:divBdr>
                    <w:top w:val="none" w:sz="0" w:space="0" w:color="auto"/>
                    <w:left w:val="none" w:sz="0" w:space="0" w:color="auto"/>
                    <w:bottom w:val="none" w:sz="0" w:space="0" w:color="auto"/>
                    <w:right w:val="none" w:sz="0" w:space="0" w:color="auto"/>
                  </w:divBdr>
                </w:div>
                <w:div w:id="199610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930888">
          <w:marLeft w:val="0"/>
          <w:marRight w:val="0"/>
          <w:marTop w:val="0"/>
          <w:marBottom w:val="0"/>
          <w:divBdr>
            <w:top w:val="none" w:sz="0" w:space="0" w:color="auto"/>
            <w:left w:val="none" w:sz="0" w:space="0" w:color="auto"/>
            <w:bottom w:val="none" w:sz="0" w:space="0" w:color="auto"/>
            <w:right w:val="none" w:sz="0" w:space="0" w:color="auto"/>
          </w:divBdr>
        </w:div>
        <w:div w:id="1066732439">
          <w:marLeft w:val="0"/>
          <w:marRight w:val="0"/>
          <w:marTop w:val="0"/>
          <w:marBottom w:val="0"/>
          <w:divBdr>
            <w:top w:val="none" w:sz="0" w:space="0" w:color="auto"/>
            <w:left w:val="none" w:sz="0" w:space="0" w:color="auto"/>
            <w:bottom w:val="none" w:sz="0" w:space="0" w:color="auto"/>
            <w:right w:val="none" w:sz="0" w:space="0" w:color="auto"/>
          </w:divBdr>
          <w:divsChild>
            <w:div w:id="633607079">
              <w:marLeft w:val="0"/>
              <w:marRight w:val="0"/>
              <w:marTop w:val="0"/>
              <w:marBottom w:val="0"/>
              <w:divBdr>
                <w:top w:val="none" w:sz="0" w:space="0" w:color="auto"/>
                <w:left w:val="none" w:sz="0" w:space="0" w:color="auto"/>
                <w:bottom w:val="none" w:sz="0" w:space="0" w:color="auto"/>
                <w:right w:val="none" w:sz="0" w:space="0" w:color="auto"/>
              </w:divBdr>
              <w:divsChild>
                <w:div w:id="1164970880">
                  <w:marLeft w:val="0"/>
                  <w:marRight w:val="0"/>
                  <w:marTop w:val="0"/>
                  <w:marBottom w:val="0"/>
                  <w:divBdr>
                    <w:top w:val="none" w:sz="0" w:space="0" w:color="auto"/>
                    <w:left w:val="none" w:sz="0" w:space="0" w:color="auto"/>
                    <w:bottom w:val="none" w:sz="0" w:space="0" w:color="auto"/>
                    <w:right w:val="none" w:sz="0" w:space="0" w:color="auto"/>
                  </w:divBdr>
                </w:div>
              </w:divsChild>
            </w:div>
            <w:div w:id="922374525">
              <w:marLeft w:val="0"/>
              <w:marRight w:val="0"/>
              <w:marTop w:val="0"/>
              <w:marBottom w:val="0"/>
              <w:divBdr>
                <w:top w:val="none" w:sz="0" w:space="0" w:color="auto"/>
                <w:left w:val="none" w:sz="0" w:space="0" w:color="auto"/>
                <w:bottom w:val="none" w:sz="0" w:space="0" w:color="auto"/>
                <w:right w:val="none" w:sz="0" w:space="0" w:color="auto"/>
              </w:divBdr>
              <w:divsChild>
                <w:div w:id="2073969301">
                  <w:marLeft w:val="0"/>
                  <w:marRight w:val="0"/>
                  <w:marTop w:val="0"/>
                  <w:marBottom w:val="0"/>
                  <w:divBdr>
                    <w:top w:val="none" w:sz="0" w:space="0" w:color="auto"/>
                    <w:left w:val="none" w:sz="0" w:space="0" w:color="auto"/>
                    <w:bottom w:val="none" w:sz="0" w:space="0" w:color="auto"/>
                    <w:right w:val="none" w:sz="0" w:space="0" w:color="auto"/>
                  </w:divBdr>
                </w:div>
                <w:div w:id="166542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01538">
          <w:marLeft w:val="0"/>
          <w:marRight w:val="0"/>
          <w:marTop w:val="0"/>
          <w:marBottom w:val="0"/>
          <w:divBdr>
            <w:top w:val="none" w:sz="0" w:space="0" w:color="auto"/>
            <w:left w:val="none" w:sz="0" w:space="0" w:color="auto"/>
            <w:bottom w:val="none" w:sz="0" w:space="0" w:color="auto"/>
            <w:right w:val="none" w:sz="0" w:space="0" w:color="auto"/>
          </w:divBdr>
          <w:divsChild>
            <w:div w:id="550118291">
              <w:marLeft w:val="0"/>
              <w:marRight w:val="0"/>
              <w:marTop w:val="0"/>
              <w:marBottom w:val="0"/>
              <w:divBdr>
                <w:top w:val="none" w:sz="0" w:space="0" w:color="auto"/>
                <w:left w:val="none" w:sz="0" w:space="0" w:color="auto"/>
                <w:bottom w:val="none" w:sz="0" w:space="0" w:color="auto"/>
                <w:right w:val="none" w:sz="0" w:space="0" w:color="auto"/>
              </w:divBdr>
              <w:divsChild>
                <w:div w:id="2080519723">
                  <w:marLeft w:val="0"/>
                  <w:marRight w:val="0"/>
                  <w:marTop w:val="0"/>
                  <w:marBottom w:val="0"/>
                  <w:divBdr>
                    <w:top w:val="none" w:sz="0" w:space="0" w:color="auto"/>
                    <w:left w:val="none" w:sz="0" w:space="0" w:color="auto"/>
                    <w:bottom w:val="none" w:sz="0" w:space="0" w:color="auto"/>
                    <w:right w:val="none" w:sz="0" w:space="0" w:color="auto"/>
                  </w:divBdr>
                  <w:divsChild>
                    <w:div w:id="7908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859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ril.com/ar2025-26/index.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il.com/ar2025-26/financial-performance-and-review.html" TargetMode="External"/><Relationship Id="rId12" Type="http://schemas.openxmlformats.org/officeDocument/2006/relationships/hyperlink" Target="https://www.ril.com/ar2025-26/financial-performance-and-review.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il.com/ar2025-26/pdf/07_RIL_IAR_2025-26_Consolidated_22-05-26.pdf" TargetMode="External"/><Relationship Id="rId1" Type="http://schemas.openxmlformats.org/officeDocument/2006/relationships/numbering" Target="numbering.xml"/><Relationship Id="rId6" Type="http://schemas.openxmlformats.org/officeDocument/2006/relationships/hyperlink" Target="https://www.ril.com/ar2025-26/10-year-financial-highlights.html" TargetMode="External"/><Relationship Id="rId11" Type="http://schemas.openxmlformats.org/officeDocument/2006/relationships/image" Target="media/image4.jpeg"/><Relationship Id="rId5" Type="http://schemas.openxmlformats.org/officeDocument/2006/relationships/hyperlink" Target="https://www.ril.com/ar2025-26/financial-performance-and-review.html" TargetMode="External"/><Relationship Id="rId15" Type="http://schemas.openxmlformats.org/officeDocument/2006/relationships/hyperlink" Target="https://www.ril.com/ar2025-26/10-year-financial-highlights.html"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ril.com/ar2025-26/financial-performance-and-re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1862</Words>
  <Characters>10616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BRAHMAREDDY</dc:creator>
  <cp:keywords/>
  <dc:description/>
  <cp:lastModifiedBy>BRAHMAREDDY</cp:lastModifiedBy>
  <cp:revision>1</cp:revision>
  <dcterms:created xsi:type="dcterms:W3CDTF">2026-10-14T11:45:00Z</dcterms:created>
  <dcterms:modified xsi:type="dcterms:W3CDTF">2026-10-14T12:06:00Z</dcterms:modified>
</cp:coreProperties>
</file>