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BUSINESS REQUIREMENTS DOCUMENT</w:t>
      </w:r>
    </w:p>
    <w:p>
      <w:pPr>
        <w:jc w:val="center"/>
      </w:pPr>
      <w:r>
        <w:rPr>
          <w:b/>
          <w:sz w:val="32"/>
        </w:rPr>
        <w:t>Algorithmic Trading &amp; Automated Order Management System</w:t>
      </w:r>
    </w:p>
    <w:p>
      <w:pPr>
        <w:jc w:val="center"/>
      </w:pPr>
      <w:r>
        <w:rPr>
          <w:i/>
        </w:rPr>
        <w:t>Capital Markets | Intraday Equity Trading | BA Requirements Baseline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Document Attribute</w:t>
            </w:r>
          </w:p>
        </w:tc>
        <w:tc>
          <w:tcPr>
            <w:tcW w:type="dxa" w:w="5112"/>
            <w:shd w:fill="D9EAF7"/>
          </w:tcPr>
          <w:p>
            <w:r>
              <w:rPr>
                <w:b/>
                <w:sz w:val="17"/>
              </w:rPr>
              <w:t>Value</w:t>
            </w:r>
          </w:p>
        </w:tc>
      </w:tr>
      <w:tr>
        <w:tc>
          <w:tcPr>
            <w:tcW w:type="dxa" w:w="5112"/>
          </w:tcPr>
          <w:p>
            <w:pPr>
              <w:spacing w:after="0"/>
            </w:pPr>
            <w:r>
              <w:rPr>
                <w:sz w:val="17"/>
              </w:rPr>
              <w:t>Document ID</w:t>
            </w:r>
          </w:p>
        </w:tc>
        <w:tc>
          <w:tcPr>
            <w:tcW w:type="dxa" w:w="5112"/>
          </w:tcPr>
          <w:p>
            <w:pPr>
              <w:spacing w:after="0"/>
            </w:pPr>
            <w:r>
              <w:rPr>
                <w:sz w:val="17"/>
              </w:rPr>
              <w:t>ATOMS-BRD-001</w:t>
            </w:r>
          </w:p>
        </w:tc>
      </w:tr>
      <w:tr>
        <w:tc>
          <w:tcPr>
            <w:tcW w:type="dxa" w:w="5112"/>
          </w:tcPr>
          <w:p>
            <w:pPr>
              <w:spacing w:after="0"/>
            </w:pPr>
            <w:r>
              <w:rPr>
                <w:sz w:val="17"/>
              </w:rPr>
              <w:t>Version</w:t>
            </w:r>
          </w:p>
        </w:tc>
        <w:tc>
          <w:tcPr>
            <w:tcW w:type="dxa" w:w="5112"/>
          </w:tcPr>
          <w:p>
            <w:pPr>
              <w:spacing w:after="0"/>
            </w:pPr>
            <w:r>
              <w:rPr>
                <w:sz w:val="17"/>
              </w:rPr>
              <w:t>1.0</w:t>
            </w:r>
          </w:p>
        </w:tc>
      </w:tr>
      <w:tr>
        <w:tc>
          <w:tcPr>
            <w:tcW w:type="dxa" w:w="5112"/>
          </w:tcPr>
          <w:p>
            <w:pPr>
              <w:spacing w:after="0"/>
            </w:pPr>
            <w:r>
              <w:rPr>
                <w:sz w:val="17"/>
              </w:rPr>
              <w:t>Status</w:t>
            </w:r>
          </w:p>
        </w:tc>
        <w:tc>
          <w:tcPr>
            <w:tcW w:type="dxa" w:w="5112"/>
          </w:tcPr>
          <w:p>
            <w:pPr>
              <w:spacing w:after="0"/>
            </w:pPr>
            <w:r>
              <w:rPr>
                <w:sz w:val="17"/>
              </w:rPr>
              <w:t>Draft for Business Review</w:t>
            </w:r>
          </w:p>
        </w:tc>
      </w:tr>
      <w:tr>
        <w:tc>
          <w:tcPr>
            <w:tcW w:type="dxa" w:w="5112"/>
          </w:tcPr>
          <w:p>
            <w:pPr>
              <w:spacing w:after="0"/>
            </w:pPr>
            <w:r>
              <w:rPr>
                <w:sz w:val="17"/>
              </w:rPr>
              <w:t>Parent Document</w:t>
            </w:r>
          </w:p>
        </w:tc>
        <w:tc>
          <w:tcPr>
            <w:tcW w:type="dxa" w:w="5112"/>
          </w:tcPr>
          <w:p>
            <w:pPr>
              <w:spacing w:after="0"/>
            </w:pPr>
            <w:r>
              <w:rPr>
                <w:sz w:val="17"/>
              </w:rPr>
              <w:t>ATOMS-PC-001 – Project Charter v1.0</w:t>
            </w:r>
          </w:p>
        </w:tc>
      </w:tr>
      <w:tr>
        <w:tc>
          <w:tcPr>
            <w:tcW w:type="dxa" w:w="5112"/>
          </w:tcPr>
          <w:p>
            <w:pPr>
              <w:spacing w:after="0"/>
            </w:pPr>
            <w:r>
              <w:rPr>
                <w:sz w:val="17"/>
              </w:rPr>
              <w:t>Prepared By</w:t>
            </w:r>
          </w:p>
        </w:tc>
        <w:tc>
          <w:tcPr>
            <w:tcW w:type="dxa" w:w="5112"/>
          </w:tcPr>
          <w:p>
            <w:pPr>
              <w:spacing w:after="0"/>
            </w:pPr>
            <w:r>
              <w:rPr>
                <w:sz w:val="17"/>
              </w:rPr>
              <w:t>Business Analyst</w:t>
            </w:r>
          </w:p>
        </w:tc>
      </w:tr>
      <w:tr>
        <w:tc>
          <w:tcPr>
            <w:tcW w:type="dxa" w:w="5112"/>
          </w:tcPr>
          <w:p>
            <w:pPr>
              <w:spacing w:after="0"/>
            </w:pPr>
            <w:r>
              <w:rPr>
                <w:sz w:val="17"/>
              </w:rPr>
              <w:t>Business Domain</w:t>
            </w:r>
          </w:p>
        </w:tc>
        <w:tc>
          <w:tcPr>
            <w:tcW w:type="dxa" w:w="5112"/>
          </w:tcPr>
          <w:p>
            <w:pPr>
              <w:spacing w:after="0"/>
            </w:pPr>
            <w:r>
              <w:rPr>
                <w:sz w:val="17"/>
              </w:rPr>
              <w:t>Capital Markets / Equity Trading</w:t>
            </w:r>
          </w:p>
        </w:tc>
      </w:tr>
      <w:tr>
        <w:tc>
          <w:tcPr>
            <w:tcW w:type="dxa" w:w="5112"/>
          </w:tcPr>
          <w:p>
            <w:pPr>
              <w:spacing w:after="0"/>
            </w:pPr>
            <w:r>
              <w:rPr>
                <w:sz w:val="17"/>
              </w:rPr>
              <w:t>Target Instrument – V1</w:t>
            </w:r>
          </w:p>
        </w:tc>
        <w:tc>
          <w:tcPr>
            <w:tcW w:type="dxa" w:w="5112"/>
          </w:tcPr>
          <w:p>
            <w:pPr>
              <w:spacing w:after="0"/>
            </w:pPr>
            <w:r>
              <w:rPr>
                <w:sz w:val="17"/>
              </w:rPr>
              <w:t>NIFTY</w:t>
            </w:r>
          </w:p>
        </w:tc>
      </w:tr>
      <w:tr>
        <w:tc>
          <w:tcPr>
            <w:tcW w:type="dxa" w:w="5112"/>
          </w:tcPr>
          <w:p>
            <w:pPr>
              <w:spacing w:after="0"/>
            </w:pPr>
            <w:r>
              <w:rPr>
                <w:sz w:val="17"/>
              </w:rPr>
              <w:t>Trading Style</w:t>
            </w:r>
          </w:p>
        </w:tc>
        <w:tc>
          <w:tcPr>
            <w:tcW w:type="dxa" w:w="5112"/>
          </w:tcPr>
          <w:p>
            <w:pPr>
              <w:spacing w:after="0"/>
            </w:pPr>
            <w:r>
              <w:rPr>
                <w:sz w:val="17"/>
              </w:rPr>
              <w:t>Intraday</w:t>
            </w:r>
          </w:p>
        </w:tc>
      </w:tr>
      <w:tr>
        <w:tc>
          <w:tcPr>
            <w:tcW w:type="dxa" w:w="5112"/>
          </w:tcPr>
          <w:p>
            <w:pPr>
              <w:spacing w:after="0"/>
            </w:pPr>
            <w:r>
              <w:rPr>
                <w:sz w:val="17"/>
              </w:rPr>
              <w:t>Delivery Model</w:t>
            </w:r>
          </w:p>
        </w:tc>
        <w:tc>
          <w:tcPr>
            <w:tcW w:type="dxa" w:w="5112"/>
          </w:tcPr>
          <w:p>
            <w:pPr>
              <w:spacing w:after="0"/>
            </w:pPr>
            <w:r>
              <w:rPr>
                <w:sz w:val="17"/>
              </w:rPr>
              <w:t>Agile</w:t>
            </w:r>
          </w:p>
        </w:tc>
      </w:tr>
      <w:tr>
        <w:tc>
          <w:tcPr>
            <w:tcW w:type="dxa" w:w="5112"/>
          </w:tcPr>
          <w:p>
            <w:pPr>
              <w:spacing w:after="0"/>
            </w:pPr>
            <w:r>
              <w:rPr>
                <w:sz w:val="17"/>
              </w:rPr>
              <w:t>Priority</w:t>
            </w:r>
          </w:p>
        </w:tc>
        <w:tc>
          <w:tcPr>
            <w:tcW w:type="dxa" w:w="5112"/>
          </w:tcPr>
          <w:p>
            <w:pPr>
              <w:spacing w:after="0"/>
            </w:pPr>
            <w:r>
              <w:rPr>
                <w:sz w:val="17"/>
              </w:rPr>
              <w:t>High</w:t>
            </w:r>
          </w:p>
        </w:tc>
      </w:tr>
    </w:tbl>
    <w:p>
      <w:pPr>
        <w:pStyle w:val="Heading1"/>
      </w:pPr>
      <w:r>
        <w:t>1. Purpose of the Document</w:t>
      </w:r>
    </w:p>
    <w:p>
      <w:r>
        <w:t>This Business Requirements Document (BRD) translates the approved Project Charter into a structured business baseline for ATOMS. It defines what the business expects the solution to achieve, the required capabilities, business rules, scope boundaries, stakeholder needs, and measurable outcomes. Detailed technical behaviour will be elaborated in the FRD.</w:t>
      </w:r>
    </w:p>
    <w:p>
      <w:pPr>
        <w:pStyle w:val="Heading1"/>
      </w:pPr>
      <w:r>
        <w:t>2. Project Background</w:t>
      </w:r>
    </w:p>
    <w:p>
      <w:r>
        <w:t>ATOMS is intended to standardize and automate a controlled intraday trading workflow. V1 focuses on NIFTY and a rule-based strategy. The platform will receive market data, evaluate strategy conditions, generate signals, apply risk controls, manage order and position lifecycle, and report trading performance.</w:t>
      </w:r>
    </w:p>
    <w:p>
      <w:pPr>
        <w:pStyle w:val="Heading1"/>
      </w:pPr>
      <w:r>
        <w:t>3. Business Problem Statement</w:t>
      </w:r>
    </w:p>
    <w:p>
      <w:r>
        <w:t>Manual intraday trading requires repeated market monitoring and execution of predefined decisions. This can create inconsistent application of strategy rules, delayed execution, quantity-calculation errors, duplicate orders, missed exits, weak auditability, and fragmented performance information.</w:t>
      </w:r>
    </w:p>
    <w:p>
      <w:pPr>
        <w:pStyle w:val="Heading1"/>
      </w:pPr>
      <w:r>
        <w:t>4. Business Opportunity</w:t>
      </w:r>
    </w:p>
    <w:p>
      <w:pPr>
        <w:pStyle w:val="ListBullet"/>
        <w:spacing w:after="20"/>
      </w:pPr>
      <w:r>
        <w:t>Reduce manual intervention in repetitive strategy evaluation.</w:t>
      </w:r>
    </w:p>
    <w:p>
      <w:pPr>
        <w:pStyle w:val="ListBullet"/>
        <w:spacing w:after="20"/>
      </w:pPr>
      <w:r>
        <w:t>Standardize application of trading and risk rules.</w:t>
      </w:r>
    </w:p>
    <w:p>
      <w:pPr>
        <w:pStyle w:val="ListBullet"/>
        <w:spacing w:after="20"/>
      </w:pPr>
      <w:r>
        <w:t>Improve traceability from market condition to signal, order and position.</w:t>
      </w:r>
    </w:p>
    <w:p>
      <w:pPr>
        <w:pStyle w:val="ListBullet"/>
        <w:spacing w:after="20"/>
      </w:pPr>
      <w:r>
        <w:t>Provide repeatable historical evaluation through backtesting.</w:t>
      </w:r>
    </w:p>
    <w:p>
      <w:pPr>
        <w:pStyle w:val="ListBullet"/>
        <w:spacing w:after="20"/>
      </w:pPr>
      <w:r>
        <w:t>Create a reusable foundation for additional strategies and instruments.</w:t>
      </w:r>
    </w:p>
    <w:p>
      <w:pPr>
        <w:pStyle w:val="ListBullet"/>
        <w:spacing w:after="20"/>
      </w:pPr>
      <w:r>
        <w:t>Improve operational visibility through dashboards, audit logs and reconciliation.</w:t>
      </w:r>
    </w:p>
    <w:p>
      <w:pPr>
        <w:pStyle w:val="Heading1"/>
      </w:pPr>
      <w:r>
        <w:t>5. Business Objectives</w:t>
      </w:r>
    </w:p>
    <w:p>
      <w:pPr>
        <w:pStyle w:val="ListBullet"/>
        <w:spacing w:after="20"/>
      </w:pPr>
      <w:r>
        <w:t>Generate consistent rule-based trading signals from validated market data.</w:t>
      </w:r>
    </w:p>
    <w:p>
      <w:pPr>
        <w:pStyle w:val="ListBullet"/>
        <w:spacing w:after="20"/>
      </w:pPr>
      <w:r>
        <w:t>Prevent orders that fail mandatory risk controls.</w:t>
      </w:r>
    </w:p>
    <w:p>
      <w:pPr>
        <w:pStyle w:val="ListBullet"/>
        <w:spacing w:after="20"/>
      </w:pPr>
      <w:r>
        <w:t>Track the complete order and position lifecycle.</w:t>
      </w:r>
    </w:p>
    <w:p>
      <w:pPr>
        <w:pStyle w:val="ListBullet"/>
        <w:spacing w:after="20"/>
      </w:pPr>
      <w:r>
        <w:t>Provide reliable realised and unrealised P&amp;L reporting.</w:t>
      </w:r>
    </w:p>
    <w:p>
      <w:pPr>
        <w:pStyle w:val="ListBullet"/>
        <w:spacing w:after="20"/>
      </w:pPr>
      <w:r>
        <w:t>Enable reproducible backtesting before paper trading.</w:t>
      </w:r>
    </w:p>
    <w:p>
      <w:pPr>
        <w:pStyle w:val="ListBullet"/>
        <w:spacing w:after="20"/>
      </w:pPr>
      <w:r>
        <w:t>Provide exception management and broker reconciliation.</w:t>
      </w:r>
    </w:p>
    <w:p>
      <w:pPr>
        <w:pStyle w:val="ListBullet"/>
        <w:spacing w:after="20"/>
      </w:pPr>
      <w:r>
        <w:t>Maintain a complete audit trail for trading decisions and system actions.</w:t>
      </w:r>
    </w:p>
    <w:p>
      <w:pPr>
        <w:pStyle w:val="Heading1"/>
      </w:pPr>
      <w:r>
        <w:t>6. Stakeholder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Stakeholder</w:t>
            </w:r>
          </w:p>
        </w:tc>
        <w:tc>
          <w:tcPr>
            <w:tcW w:type="dxa" w:w="5112"/>
            <w:shd w:fill="D9EAF7"/>
          </w:tcPr>
          <w:p>
            <w:r>
              <w:rPr>
                <w:b/>
                <w:sz w:val="17"/>
              </w:rPr>
              <w:t>Business Need</w:t>
            </w:r>
          </w:p>
        </w:tc>
      </w:tr>
      <w:tr>
        <w:tc>
          <w:tcPr>
            <w:tcW w:type="dxa" w:w="5112"/>
          </w:tcPr>
          <w:p>
            <w:pPr>
              <w:spacing w:after="0"/>
            </w:pPr>
            <w:r>
              <w:rPr>
                <w:sz w:val="17"/>
              </w:rPr>
              <w:t>Trader / Business User</w:t>
            </w:r>
          </w:p>
        </w:tc>
        <w:tc>
          <w:tcPr>
            <w:tcW w:type="dxa" w:w="5112"/>
          </w:tcPr>
          <w:p>
            <w:pPr>
              <w:spacing w:after="0"/>
            </w:pPr>
            <w:r>
              <w:rPr>
                <w:sz w:val="17"/>
              </w:rPr>
              <w:t>Clear signals, transparent strategy conditions, position visibility and P&amp;L.</w:t>
            </w:r>
          </w:p>
        </w:tc>
      </w:tr>
      <w:tr>
        <w:tc>
          <w:tcPr>
            <w:tcW w:type="dxa" w:w="5112"/>
          </w:tcPr>
          <w:p>
            <w:pPr>
              <w:spacing w:after="0"/>
            </w:pPr>
            <w:r>
              <w:rPr>
                <w:sz w:val="17"/>
              </w:rPr>
              <w:t>Risk User</w:t>
            </w:r>
          </w:p>
        </w:tc>
        <w:tc>
          <w:tcPr>
            <w:tcW w:type="dxa" w:w="5112"/>
          </w:tcPr>
          <w:p>
            <w:pPr>
              <w:spacing w:after="0"/>
            </w:pPr>
            <w:r>
              <w:rPr>
                <w:sz w:val="17"/>
              </w:rPr>
              <w:t>Configurable risk controls and evidence that controls were applied before order submission.</w:t>
            </w:r>
          </w:p>
        </w:tc>
      </w:tr>
      <w:tr>
        <w:tc>
          <w:tcPr>
            <w:tcW w:type="dxa" w:w="5112"/>
          </w:tcPr>
          <w:p>
            <w:pPr>
              <w:spacing w:after="0"/>
            </w:pPr>
            <w:r>
              <w:rPr>
                <w:sz w:val="17"/>
              </w:rPr>
              <w:t>Trading Operations</w:t>
            </w:r>
          </w:p>
        </w:tc>
        <w:tc>
          <w:tcPr>
            <w:tcW w:type="dxa" w:w="5112"/>
          </w:tcPr>
          <w:p>
            <w:pPr>
              <w:spacing w:after="0"/>
            </w:pPr>
            <w:r>
              <w:rPr>
                <w:sz w:val="17"/>
              </w:rPr>
              <w:t>Order status, execution status, exceptions and reconciliation visibility.</w:t>
            </w:r>
          </w:p>
        </w:tc>
      </w:tr>
      <w:tr>
        <w:tc>
          <w:tcPr>
            <w:tcW w:type="dxa" w:w="5112"/>
          </w:tcPr>
          <w:p>
            <w:pPr>
              <w:spacing w:after="0"/>
            </w:pPr>
            <w:r>
              <w:rPr>
                <w:sz w:val="17"/>
              </w:rPr>
              <w:t>Business Analyst</w:t>
            </w:r>
          </w:p>
        </w:tc>
        <w:tc>
          <w:tcPr>
            <w:tcW w:type="dxa" w:w="5112"/>
          </w:tcPr>
          <w:p>
            <w:pPr>
              <w:spacing w:after="0"/>
            </w:pPr>
            <w:r>
              <w:rPr>
                <w:sz w:val="17"/>
              </w:rPr>
              <w:t>Traceable business requirements, rules, processes and acceptance criteria.</w:t>
            </w:r>
          </w:p>
        </w:tc>
      </w:tr>
      <w:tr>
        <w:tc>
          <w:tcPr>
            <w:tcW w:type="dxa" w:w="5112"/>
          </w:tcPr>
          <w:p>
            <w:pPr>
              <w:spacing w:after="0"/>
            </w:pPr>
            <w:r>
              <w:rPr>
                <w:sz w:val="17"/>
              </w:rPr>
              <w:t>QA / Tester</w:t>
            </w:r>
          </w:p>
        </w:tc>
        <w:tc>
          <w:tcPr>
            <w:tcW w:type="dxa" w:w="5112"/>
          </w:tcPr>
          <w:p>
            <w:pPr>
              <w:spacing w:after="0"/>
            </w:pPr>
            <w:r>
              <w:rPr>
                <w:sz w:val="17"/>
              </w:rPr>
              <w:t>Clear, testable requirements and business outcomes.</w:t>
            </w:r>
          </w:p>
        </w:tc>
      </w:tr>
      <w:tr>
        <w:tc>
          <w:tcPr>
            <w:tcW w:type="dxa" w:w="5112"/>
          </w:tcPr>
          <w:p>
            <w:pPr>
              <w:spacing w:after="0"/>
            </w:pPr>
            <w:r>
              <w:rPr>
                <w:sz w:val="17"/>
              </w:rPr>
              <w:t>Developer</w:t>
            </w:r>
          </w:p>
        </w:tc>
        <w:tc>
          <w:tcPr>
            <w:tcW w:type="dxa" w:w="5112"/>
          </w:tcPr>
          <w:p>
            <w:pPr>
              <w:spacing w:after="0"/>
            </w:pPr>
            <w:r>
              <w:rPr>
                <w:sz w:val="17"/>
              </w:rPr>
              <w:t>Unambiguous business rules and system behaviour expectations.</w:t>
            </w:r>
          </w:p>
        </w:tc>
      </w:tr>
      <w:tr>
        <w:tc>
          <w:tcPr>
            <w:tcW w:type="dxa" w:w="5112"/>
          </w:tcPr>
          <w:p>
            <w:pPr>
              <w:spacing w:after="0"/>
            </w:pPr>
            <w:r>
              <w:rPr>
                <w:sz w:val="17"/>
              </w:rPr>
              <w:t>System Administrator</w:t>
            </w:r>
          </w:p>
        </w:tc>
        <w:tc>
          <w:tcPr>
            <w:tcW w:type="dxa" w:w="5112"/>
          </w:tcPr>
          <w:p>
            <w:pPr>
              <w:spacing w:after="0"/>
            </w:pPr>
            <w:r>
              <w:rPr>
                <w:sz w:val="17"/>
              </w:rPr>
              <w:t>Operational status, configuration, audit and failure visibility.</w:t>
            </w:r>
          </w:p>
        </w:tc>
      </w:tr>
    </w:tbl>
    <w:p>
      <w:pPr>
        <w:pStyle w:val="Heading1"/>
      </w:pPr>
      <w:r>
        <w:t>7. Scope</w:t>
      </w:r>
    </w:p>
    <w:p>
      <w:pPr>
        <w:pStyle w:val="Heading2"/>
      </w:pPr>
      <w:r>
        <w:t>7.1 In Scope</w:t>
      </w:r>
    </w:p>
    <w:p>
      <w:pPr>
        <w:pStyle w:val="ListBullet"/>
        <w:spacing w:after="20"/>
      </w:pPr>
      <w:r>
        <w:t>NIFTY intraday trading workflow for V1.</w:t>
      </w:r>
    </w:p>
    <w:p>
      <w:pPr>
        <w:pStyle w:val="ListBullet"/>
        <w:spacing w:after="20"/>
      </w:pPr>
      <w:r>
        <w:t>Market data acquisition and validation.</w:t>
      </w:r>
    </w:p>
    <w:p>
      <w:pPr>
        <w:pStyle w:val="ListBullet"/>
        <w:spacing w:after="20"/>
      </w:pPr>
      <w:r>
        <w:t>Technical indicator calculation.</w:t>
      </w:r>
    </w:p>
    <w:p>
      <w:pPr>
        <w:pStyle w:val="ListBullet"/>
        <w:spacing w:after="20"/>
      </w:pPr>
      <w:r>
        <w:t>Rule-based signal generation.</w:t>
      </w:r>
    </w:p>
    <w:p>
      <w:pPr>
        <w:pStyle w:val="ListBullet"/>
        <w:spacing w:after="20"/>
      </w:pPr>
      <w:r>
        <w:t>Entry and exit rule configuration.</w:t>
      </w:r>
    </w:p>
    <w:p>
      <w:pPr>
        <w:pStyle w:val="ListBullet"/>
        <w:spacing w:after="20"/>
      </w:pPr>
      <w:r>
        <w:t>Risk validation and position sizing.</w:t>
      </w:r>
    </w:p>
    <w:p>
      <w:pPr>
        <w:pStyle w:val="ListBullet"/>
        <w:spacing w:after="20"/>
      </w:pPr>
      <w:r>
        <w:t>Order lifecycle management.</w:t>
      </w:r>
    </w:p>
    <w:p>
      <w:pPr>
        <w:pStyle w:val="ListBullet"/>
        <w:spacing w:after="20"/>
      </w:pPr>
      <w:r>
        <w:t>Broker API integration requirements.</w:t>
      </w:r>
    </w:p>
    <w:p>
      <w:pPr>
        <w:pStyle w:val="ListBullet"/>
        <w:spacing w:after="20"/>
      </w:pPr>
      <w:r>
        <w:t>Position and P&amp;L management.</w:t>
      </w:r>
    </w:p>
    <w:p>
      <w:pPr>
        <w:pStyle w:val="ListBullet"/>
        <w:spacing w:after="20"/>
      </w:pPr>
      <w:r>
        <w:t>Historical backtesting.</w:t>
      </w:r>
    </w:p>
    <w:p>
      <w:pPr>
        <w:pStyle w:val="ListBullet"/>
        <w:spacing w:after="20"/>
      </w:pPr>
      <w:r>
        <w:t>Paper trading.</w:t>
      </w:r>
    </w:p>
    <w:p>
      <w:pPr>
        <w:pStyle w:val="ListBullet"/>
        <w:spacing w:after="20"/>
      </w:pPr>
      <w:r>
        <w:t>Dashboard and performance reporting.</w:t>
      </w:r>
    </w:p>
    <w:p>
      <w:pPr>
        <w:pStyle w:val="ListBullet"/>
        <w:spacing w:after="20"/>
      </w:pPr>
      <w:r>
        <w:t>Exception handling, audit and reconciliation.</w:t>
      </w:r>
    </w:p>
    <w:p>
      <w:pPr>
        <w:pStyle w:val="ListBullet"/>
        <w:spacing w:after="20"/>
      </w:pPr>
      <w:r>
        <w:t>UAT and requirements traceability.</w:t>
      </w:r>
    </w:p>
    <w:p>
      <w:pPr>
        <w:pStyle w:val="Heading2"/>
      </w:pPr>
      <w:r>
        <w:t>7.2 Out of Scope</w:t>
      </w:r>
    </w:p>
    <w:p>
      <w:pPr>
        <w:pStyle w:val="ListBullet"/>
        <w:spacing w:after="20"/>
      </w:pPr>
      <w:r>
        <w:t>High-frequency trading.</w:t>
      </w:r>
    </w:p>
    <w:p>
      <w:pPr>
        <w:pStyle w:val="ListBullet"/>
        <w:spacing w:after="20"/>
      </w:pPr>
      <w:r>
        <w:t>Machine-learning signal generation.</w:t>
      </w:r>
    </w:p>
    <w:p>
      <w:pPr>
        <w:pStyle w:val="ListBullet"/>
        <w:spacing w:after="20"/>
      </w:pPr>
      <w:r>
        <w:t>Multi-exchange execution.</w:t>
      </w:r>
    </w:p>
    <w:p>
      <w:pPr>
        <w:pStyle w:val="ListBullet"/>
        <w:spacing w:after="20"/>
      </w:pPr>
      <w:r>
        <w:t>Complex portfolio optimization.</w:t>
      </w:r>
    </w:p>
    <w:p>
      <w:pPr>
        <w:pStyle w:val="ListBullet"/>
        <w:spacing w:after="20"/>
      </w:pPr>
      <w:r>
        <w:t>Unrestricted autonomous real-money trading.</w:t>
      </w:r>
    </w:p>
    <w:p>
      <w:pPr>
        <w:pStyle w:val="ListBullet"/>
        <w:spacing w:after="20"/>
      </w:pPr>
      <w:r>
        <w:t>Guaranteeing financial returns.</w:t>
      </w:r>
    </w:p>
    <w:p>
      <w:pPr>
        <w:pStyle w:val="ListBullet"/>
        <w:spacing w:after="20"/>
      </w:pPr>
      <w:r>
        <w:t>Advanced derivatives portfolio management in V1.</w:t>
      </w:r>
    </w:p>
    <w:p>
      <w:pPr>
        <w:pStyle w:val="Heading1"/>
      </w:pPr>
      <w:r>
        <w:t>8. AS-IS Business Process</w:t>
      </w:r>
    </w:p>
    <w:p>
      <w:pPr>
        <w:pStyle w:val="ListNumber"/>
        <w:spacing w:after="20"/>
      </w:pPr>
      <w:r>
        <w:t>Trader monitors market manually.</w:t>
      </w:r>
    </w:p>
    <w:p>
      <w:pPr>
        <w:pStyle w:val="ListNumber"/>
        <w:spacing w:after="20"/>
      </w:pPr>
      <w:r>
        <w:t>Trader checks price and technical indicators.</w:t>
      </w:r>
    </w:p>
    <w:p>
      <w:pPr>
        <w:pStyle w:val="ListNumber"/>
        <w:spacing w:after="20"/>
      </w:pPr>
      <w:r>
        <w:t>Trader determines whether strategy conditions are satisfied.</w:t>
      </w:r>
    </w:p>
    <w:p>
      <w:pPr>
        <w:pStyle w:val="ListNumber"/>
        <w:spacing w:after="20"/>
      </w:pPr>
      <w:r>
        <w:t>Trader calculates quantity and risk manually.</w:t>
      </w:r>
    </w:p>
    <w:p>
      <w:pPr>
        <w:pStyle w:val="ListNumber"/>
        <w:spacing w:after="20"/>
      </w:pPr>
      <w:r>
        <w:t>Trader submits the order through a broker platform.</w:t>
      </w:r>
    </w:p>
    <w:p>
      <w:pPr>
        <w:pStyle w:val="ListNumber"/>
        <w:spacing w:after="20"/>
      </w:pPr>
      <w:r>
        <w:t>Trader monitors execution and open position.</w:t>
      </w:r>
    </w:p>
    <w:p>
      <w:pPr>
        <w:pStyle w:val="ListNumber"/>
        <w:spacing w:after="20"/>
      </w:pPr>
      <w:r>
        <w:t>Trader manually monitors exit conditions.</w:t>
      </w:r>
    </w:p>
    <w:p>
      <w:pPr>
        <w:pStyle w:val="ListNumber"/>
        <w:spacing w:after="20"/>
      </w:pPr>
      <w:r>
        <w:t>Trader reviews trade history and calculates performance.</w:t>
      </w:r>
    </w:p>
    <w:p>
      <w:r>
        <w:t>Key pain points: manual decision repetition, inconsistent execution, operational error risk, limited automation, and fragmented audit/performance information.</w:t>
      </w:r>
    </w:p>
    <w:p>
      <w:pPr>
        <w:pStyle w:val="Heading1"/>
      </w:pPr>
      <w:r>
        <w:t>9. TO-BE Business Process</w:t>
      </w:r>
    </w:p>
    <w:p>
      <w:pPr>
        <w:pStyle w:val="ListNumber"/>
        <w:spacing w:after="20"/>
      </w:pPr>
      <w:r>
        <w:t>System receives market data.</w:t>
      </w:r>
    </w:p>
    <w:p>
      <w:pPr>
        <w:pStyle w:val="ListNumber"/>
        <w:spacing w:after="20"/>
      </w:pPr>
      <w:r>
        <w:t>System validates data freshness and completeness.</w:t>
      </w:r>
    </w:p>
    <w:p>
      <w:pPr>
        <w:pStyle w:val="ListNumber"/>
        <w:spacing w:after="20"/>
      </w:pPr>
      <w:r>
        <w:t>System calculates configured indicators.</w:t>
      </w:r>
    </w:p>
    <w:p>
      <w:pPr>
        <w:pStyle w:val="ListNumber"/>
        <w:spacing w:after="20"/>
      </w:pPr>
      <w:r>
        <w:t>Strategy engine evaluates business rules.</w:t>
      </w:r>
    </w:p>
    <w:p>
      <w:pPr>
        <w:pStyle w:val="ListNumber"/>
        <w:spacing w:after="20"/>
      </w:pPr>
      <w:r>
        <w:t>System generates a BUY/SELL signal when mandatory conditions are satisfied.</w:t>
      </w:r>
    </w:p>
    <w:p>
      <w:pPr>
        <w:pStyle w:val="ListNumber"/>
        <w:spacing w:after="20"/>
      </w:pPr>
      <w:r>
        <w:t>Risk engine validates the signal.</w:t>
      </w:r>
    </w:p>
    <w:p>
      <w:pPr>
        <w:pStyle w:val="ListNumber"/>
        <w:spacing w:after="20"/>
      </w:pPr>
      <w:r>
        <w:t>System calculates permitted position size.</w:t>
      </w:r>
    </w:p>
    <w:p>
      <w:pPr>
        <w:pStyle w:val="ListNumber"/>
        <w:spacing w:after="20"/>
      </w:pPr>
      <w:r>
        <w:t>Order manager creates and submits the order.</w:t>
      </w:r>
    </w:p>
    <w:p>
      <w:pPr>
        <w:pStyle w:val="ListNumber"/>
        <w:spacing w:after="20"/>
      </w:pPr>
      <w:r>
        <w:t>Broker response is recorded.</w:t>
      </w:r>
    </w:p>
    <w:p>
      <w:pPr>
        <w:pStyle w:val="ListNumber"/>
        <w:spacing w:after="20"/>
      </w:pPr>
      <w:r>
        <w:t>Confirmed execution updates the position.</w:t>
      </w:r>
    </w:p>
    <w:p>
      <w:pPr>
        <w:pStyle w:val="ListNumber"/>
        <w:spacing w:after="20"/>
      </w:pPr>
      <w:r>
        <w:t>System monitors configured exit conditions.</w:t>
      </w:r>
    </w:p>
    <w:p>
      <w:pPr>
        <w:pStyle w:val="ListNumber"/>
        <w:spacing w:after="20"/>
      </w:pPr>
      <w:r>
        <w:t>Position is closed when an approved exit condition is met.</w:t>
      </w:r>
    </w:p>
    <w:p>
      <w:pPr>
        <w:pStyle w:val="ListNumber"/>
        <w:spacing w:after="20"/>
      </w:pPr>
      <w:r>
        <w:t>Trade and P&amp;L are recorded.</w:t>
      </w:r>
    </w:p>
    <w:p>
      <w:pPr>
        <w:pStyle w:val="ListNumber"/>
        <w:spacing w:after="20"/>
      </w:pPr>
      <w:r>
        <w:t>Audit and reconciliation records are updated.</w:t>
      </w:r>
    </w:p>
    <w:p>
      <w:pPr>
        <w:pStyle w:val="Heading1"/>
      </w:pPr>
      <w:r>
        <w:t>10. High-Level Business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ID</w:t>
            </w:r>
          </w:p>
        </w:tc>
        <w:tc>
          <w:tcPr>
            <w:tcW w:type="dxa" w:w="5112"/>
            <w:shd w:fill="D9EAF7"/>
          </w:tcPr>
          <w:p>
            <w:r>
              <w:rPr>
                <w:b/>
                <w:sz w:val="17"/>
              </w:rPr>
              <w:t>Business Requirement</w:t>
            </w:r>
          </w:p>
        </w:tc>
      </w:tr>
      <w:tr>
        <w:tc>
          <w:tcPr>
            <w:tcW w:type="dxa" w:w="5112"/>
          </w:tcPr>
          <w:p>
            <w:pPr>
              <w:spacing w:after="0"/>
            </w:pPr>
            <w:r>
              <w:rPr>
                <w:sz w:val="17"/>
              </w:rPr>
              <w:t>BR-001</w:t>
            </w:r>
          </w:p>
        </w:tc>
        <w:tc>
          <w:tcPr>
            <w:tcW w:type="dxa" w:w="5112"/>
          </w:tcPr>
          <w:p>
            <w:pPr>
              <w:spacing w:after="0"/>
            </w:pPr>
            <w:r>
              <w:rPr>
                <w:sz w:val="17"/>
              </w:rPr>
              <w:t>Provide a controlled automated workflow for evaluating the configured intraday trading strategy.</w:t>
            </w:r>
          </w:p>
        </w:tc>
      </w:tr>
      <w:tr>
        <w:tc>
          <w:tcPr>
            <w:tcW w:type="dxa" w:w="5112"/>
          </w:tcPr>
          <w:p>
            <w:pPr>
              <w:spacing w:after="0"/>
            </w:pPr>
            <w:r>
              <w:rPr>
                <w:sz w:val="17"/>
              </w:rPr>
              <w:t>BR-002</w:t>
            </w:r>
          </w:p>
        </w:tc>
        <w:tc>
          <w:tcPr>
            <w:tcW w:type="dxa" w:w="5112"/>
          </w:tcPr>
          <w:p>
            <w:pPr>
              <w:spacing w:after="0"/>
            </w:pPr>
            <w:r>
              <w:rPr>
                <w:sz w:val="17"/>
              </w:rPr>
              <w:t>Use validated market data as the basis for strategy evaluation.</w:t>
            </w:r>
          </w:p>
        </w:tc>
      </w:tr>
      <w:tr>
        <w:tc>
          <w:tcPr>
            <w:tcW w:type="dxa" w:w="5112"/>
          </w:tcPr>
          <w:p>
            <w:pPr>
              <w:spacing w:after="0"/>
            </w:pPr>
            <w:r>
              <w:rPr>
                <w:sz w:val="17"/>
              </w:rPr>
              <w:t>BR-003</w:t>
            </w:r>
          </w:p>
        </w:tc>
        <w:tc>
          <w:tcPr>
            <w:tcW w:type="dxa" w:w="5112"/>
          </w:tcPr>
          <w:p>
            <w:pPr>
              <w:spacing w:after="0"/>
            </w:pPr>
            <w:r>
              <w:rPr>
                <w:sz w:val="17"/>
              </w:rPr>
              <w:t>Generate a trading signal only when all mandatory strategy conditions are satisfied.</w:t>
            </w:r>
          </w:p>
        </w:tc>
      </w:tr>
      <w:tr>
        <w:tc>
          <w:tcPr>
            <w:tcW w:type="dxa" w:w="5112"/>
          </w:tcPr>
          <w:p>
            <w:pPr>
              <w:spacing w:after="0"/>
            </w:pPr>
            <w:r>
              <w:rPr>
                <w:sz w:val="17"/>
              </w:rPr>
              <w:t>BR-004</w:t>
            </w:r>
          </w:p>
        </w:tc>
        <w:tc>
          <w:tcPr>
            <w:tcW w:type="dxa" w:w="5112"/>
          </w:tcPr>
          <w:p>
            <w:pPr>
              <w:spacing w:after="0"/>
            </w:pPr>
            <w:r>
              <w:rPr>
                <w:sz w:val="17"/>
              </w:rPr>
              <w:t>Apply risk validation to every actionable signal before order submission.</w:t>
            </w:r>
          </w:p>
        </w:tc>
      </w:tr>
      <w:tr>
        <w:tc>
          <w:tcPr>
            <w:tcW w:type="dxa" w:w="5112"/>
          </w:tcPr>
          <w:p>
            <w:pPr>
              <w:spacing w:after="0"/>
            </w:pPr>
            <w:r>
              <w:rPr>
                <w:sz w:val="17"/>
              </w:rPr>
              <w:t>BR-005</w:t>
            </w:r>
          </w:p>
        </w:tc>
        <w:tc>
          <w:tcPr>
            <w:tcW w:type="dxa" w:w="5112"/>
          </w:tcPr>
          <w:p>
            <w:pPr>
              <w:spacing w:after="0"/>
            </w:pPr>
            <w:r>
              <w:rPr>
                <w:sz w:val="17"/>
              </w:rPr>
              <w:t>Calculate permitted position quantity according to configured risk parameters.</w:t>
            </w:r>
          </w:p>
        </w:tc>
      </w:tr>
      <w:tr>
        <w:tc>
          <w:tcPr>
            <w:tcW w:type="dxa" w:w="5112"/>
          </w:tcPr>
          <w:p>
            <w:pPr>
              <w:spacing w:after="0"/>
            </w:pPr>
            <w:r>
              <w:rPr>
                <w:sz w:val="17"/>
              </w:rPr>
              <w:t>BR-006</w:t>
            </w:r>
          </w:p>
        </w:tc>
        <w:tc>
          <w:tcPr>
            <w:tcW w:type="dxa" w:w="5112"/>
          </w:tcPr>
          <w:p>
            <w:pPr>
              <w:spacing w:after="0"/>
            </w:pPr>
            <w:r>
              <w:rPr>
                <w:sz w:val="17"/>
              </w:rPr>
              <w:t>Prevent duplicate or conflicting order creation.</w:t>
            </w:r>
          </w:p>
        </w:tc>
      </w:tr>
      <w:tr>
        <w:tc>
          <w:tcPr>
            <w:tcW w:type="dxa" w:w="5112"/>
          </w:tcPr>
          <w:p>
            <w:pPr>
              <w:spacing w:after="0"/>
            </w:pPr>
            <w:r>
              <w:rPr>
                <w:sz w:val="17"/>
              </w:rPr>
              <w:t>BR-007</w:t>
            </w:r>
          </w:p>
        </w:tc>
        <w:tc>
          <w:tcPr>
            <w:tcW w:type="dxa" w:w="5112"/>
          </w:tcPr>
          <w:p>
            <w:pPr>
              <w:spacing w:after="0"/>
            </w:pPr>
            <w:r>
              <w:rPr>
                <w:sz w:val="17"/>
              </w:rPr>
              <w:t>Maintain order lifecycle status from creation through final outcome.</w:t>
            </w:r>
          </w:p>
        </w:tc>
      </w:tr>
      <w:tr>
        <w:tc>
          <w:tcPr>
            <w:tcW w:type="dxa" w:w="5112"/>
          </w:tcPr>
          <w:p>
            <w:pPr>
              <w:spacing w:after="0"/>
            </w:pPr>
            <w:r>
              <w:rPr>
                <w:sz w:val="17"/>
              </w:rPr>
              <w:t>BR-008</w:t>
            </w:r>
          </w:p>
        </w:tc>
        <w:tc>
          <w:tcPr>
            <w:tcW w:type="dxa" w:w="5112"/>
          </w:tcPr>
          <w:p>
            <w:pPr>
              <w:spacing w:after="0"/>
            </w:pPr>
            <w:r>
              <w:rPr>
                <w:sz w:val="17"/>
              </w:rPr>
              <w:t>Create/update positions using confirmed execution information.</w:t>
            </w:r>
          </w:p>
        </w:tc>
      </w:tr>
      <w:tr>
        <w:tc>
          <w:tcPr>
            <w:tcW w:type="dxa" w:w="5112"/>
          </w:tcPr>
          <w:p>
            <w:pPr>
              <w:spacing w:after="0"/>
            </w:pPr>
            <w:r>
              <w:rPr>
                <w:sz w:val="17"/>
              </w:rPr>
              <w:t>BR-009</w:t>
            </w:r>
          </w:p>
        </w:tc>
        <w:tc>
          <w:tcPr>
            <w:tcW w:type="dxa" w:w="5112"/>
          </w:tcPr>
          <w:p>
            <w:pPr>
              <w:spacing w:after="0"/>
            </w:pPr>
            <w:r>
              <w:rPr>
                <w:sz w:val="17"/>
              </w:rPr>
              <w:t>Monitor configured exit conditions for open positions.</w:t>
            </w:r>
          </w:p>
        </w:tc>
      </w:tr>
      <w:tr>
        <w:tc>
          <w:tcPr>
            <w:tcW w:type="dxa" w:w="5112"/>
          </w:tcPr>
          <w:p>
            <w:pPr>
              <w:spacing w:after="0"/>
            </w:pPr>
            <w:r>
              <w:rPr>
                <w:sz w:val="17"/>
              </w:rPr>
              <w:t>BR-010</w:t>
            </w:r>
          </w:p>
        </w:tc>
        <w:tc>
          <w:tcPr>
            <w:tcW w:type="dxa" w:w="5112"/>
          </w:tcPr>
          <w:p>
            <w:pPr>
              <w:spacing w:after="0"/>
            </w:pPr>
            <w:r>
              <w:rPr>
                <w:sz w:val="17"/>
              </w:rPr>
              <w:t>Calculate and report realised and unrealised P&amp;L.</w:t>
            </w:r>
          </w:p>
        </w:tc>
      </w:tr>
      <w:tr>
        <w:tc>
          <w:tcPr>
            <w:tcW w:type="dxa" w:w="5112"/>
          </w:tcPr>
          <w:p>
            <w:pPr>
              <w:spacing w:after="0"/>
            </w:pPr>
            <w:r>
              <w:rPr>
                <w:sz w:val="17"/>
              </w:rPr>
              <w:t>BR-011</w:t>
            </w:r>
          </w:p>
        </w:tc>
        <w:tc>
          <w:tcPr>
            <w:tcW w:type="dxa" w:w="5112"/>
          </w:tcPr>
          <w:p>
            <w:pPr>
              <w:spacing w:after="0"/>
            </w:pPr>
            <w:r>
              <w:rPr>
                <w:sz w:val="17"/>
              </w:rPr>
              <w:t>Support historical backtesting using documented strategy configurations.</w:t>
            </w:r>
          </w:p>
        </w:tc>
      </w:tr>
      <w:tr>
        <w:tc>
          <w:tcPr>
            <w:tcW w:type="dxa" w:w="5112"/>
          </w:tcPr>
          <w:p>
            <w:pPr>
              <w:spacing w:after="0"/>
            </w:pPr>
            <w:r>
              <w:rPr>
                <w:sz w:val="17"/>
              </w:rPr>
              <w:t>BR-012</w:t>
            </w:r>
          </w:p>
        </w:tc>
        <w:tc>
          <w:tcPr>
            <w:tcW w:type="dxa" w:w="5112"/>
          </w:tcPr>
          <w:p>
            <w:pPr>
              <w:spacing w:after="0"/>
            </w:pPr>
            <w:r>
              <w:rPr>
                <w:sz w:val="17"/>
              </w:rPr>
              <w:t>Support paper trading before any live-trading decision.</w:t>
            </w:r>
          </w:p>
        </w:tc>
      </w:tr>
      <w:tr>
        <w:tc>
          <w:tcPr>
            <w:tcW w:type="dxa" w:w="5112"/>
          </w:tcPr>
          <w:p>
            <w:pPr>
              <w:spacing w:after="0"/>
            </w:pPr>
            <w:r>
              <w:rPr>
                <w:sz w:val="17"/>
              </w:rPr>
              <w:t>BR-013</w:t>
            </w:r>
          </w:p>
        </w:tc>
        <w:tc>
          <w:tcPr>
            <w:tcW w:type="dxa" w:w="5112"/>
          </w:tcPr>
          <w:p>
            <w:pPr>
              <w:spacing w:after="0"/>
            </w:pPr>
            <w:r>
              <w:rPr>
                <w:sz w:val="17"/>
              </w:rPr>
              <w:t>Maintain an audit trail for strategy, risk, order and position events.</w:t>
            </w:r>
          </w:p>
        </w:tc>
      </w:tr>
      <w:tr>
        <w:tc>
          <w:tcPr>
            <w:tcW w:type="dxa" w:w="5112"/>
          </w:tcPr>
          <w:p>
            <w:pPr>
              <w:spacing w:after="0"/>
            </w:pPr>
            <w:r>
              <w:rPr>
                <w:sz w:val="17"/>
              </w:rPr>
              <w:t>BR-014</w:t>
            </w:r>
          </w:p>
        </w:tc>
        <w:tc>
          <w:tcPr>
            <w:tcW w:type="dxa" w:w="5112"/>
          </w:tcPr>
          <w:p>
            <w:pPr>
              <w:spacing w:after="0"/>
            </w:pPr>
            <w:r>
              <w:rPr>
                <w:sz w:val="17"/>
              </w:rPr>
              <w:t>Reconcile internal order/position records against broker records.</w:t>
            </w:r>
          </w:p>
        </w:tc>
      </w:tr>
      <w:tr>
        <w:tc>
          <w:tcPr>
            <w:tcW w:type="dxa" w:w="5112"/>
          </w:tcPr>
          <w:p>
            <w:pPr>
              <w:spacing w:after="0"/>
            </w:pPr>
            <w:r>
              <w:rPr>
                <w:sz w:val="17"/>
              </w:rPr>
              <w:t>BR-015</w:t>
            </w:r>
          </w:p>
        </w:tc>
        <w:tc>
          <w:tcPr>
            <w:tcW w:type="dxa" w:w="5112"/>
          </w:tcPr>
          <w:p>
            <w:pPr>
              <w:spacing w:after="0"/>
            </w:pPr>
            <w:r>
              <w:rPr>
                <w:sz w:val="17"/>
              </w:rPr>
              <w:t>Provide operational, trading and performance reports to authorised users.</w:t>
            </w:r>
          </w:p>
        </w:tc>
      </w:tr>
    </w:tbl>
    <w:p>
      <w:pPr>
        <w:pStyle w:val="Heading1"/>
      </w:pPr>
      <w:r>
        <w:t>11. Business Capability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Capability</w:t>
            </w:r>
          </w:p>
        </w:tc>
        <w:tc>
          <w:tcPr>
            <w:tcW w:type="dxa" w:w="5112"/>
            <w:shd w:fill="D9EAF7"/>
          </w:tcPr>
          <w:p>
            <w:r>
              <w:rPr>
                <w:b/>
                <w:sz w:val="17"/>
              </w:rPr>
              <w:t>Business Outcome</w:t>
            </w:r>
          </w:p>
        </w:tc>
      </w:tr>
      <w:tr>
        <w:tc>
          <w:tcPr>
            <w:tcW w:type="dxa" w:w="5112"/>
          </w:tcPr>
          <w:p>
            <w:pPr>
              <w:spacing w:after="0"/>
            </w:pPr>
            <w:r>
              <w:rPr>
                <w:sz w:val="17"/>
              </w:rPr>
              <w:t>Market Data Management</w:t>
            </w:r>
          </w:p>
        </w:tc>
        <w:tc>
          <w:tcPr>
            <w:tcW w:type="dxa" w:w="5112"/>
          </w:tcPr>
          <w:p>
            <w:pPr>
              <w:spacing w:after="0"/>
            </w:pPr>
            <w:r>
              <w:rPr>
                <w:sz w:val="17"/>
              </w:rPr>
              <w:t>Reliable data is available for strategy decisions.</w:t>
            </w:r>
          </w:p>
        </w:tc>
      </w:tr>
      <w:tr>
        <w:tc>
          <w:tcPr>
            <w:tcW w:type="dxa" w:w="5112"/>
          </w:tcPr>
          <w:p>
            <w:pPr>
              <w:spacing w:after="0"/>
            </w:pPr>
            <w:r>
              <w:rPr>
                <w:sz w:val="17"/>
              </w:rPr>
              <w:t>Strategy Management</w:t>
            </w:r>
          </w:p>
        </w:tc>
        <w:tc>
          <w:tcPr>
            <w:tcW w:type="dxa" w:w="5112"/>
          </w:tcPr>
          <w:p>
            <w:pPr>
              <w:spacing w:after="0"/>
            </w:pPr>
            <w:r>
              <w:rPr>
                <w:sz w:val="17"/>
              </w:rPr>
              <w:t>Trading rules are consistently evaluated.</w:t>
            </w:r>
          </w:p>
        </w:tc>
      </w:tr>
      <w:tr>
        <w:tc>
          <w:tcPr>
            <w:tcW w:type="dxa" w:w="5112"/>
          </w:tcPr>
          <w:p>
            <w:pPr>
              <w:spacing w:after="0"/>
            </w:pPr>
            <w:r>
              <w:rPr>
                <w:sz w:val="17"/>
              </w:rPr>
              <w:t>Signal Management</w:t>
            </w:r>
          </w:p>
        </w:tc>
        <w:tc>
          <w:tcPr>
            <w:tcW w:type="dxa" w:w="5112"/>
          </w:tcPr>
          <w:p>
            <w:pPr>
              <w:spacing w:after="0"/>
            </w:pPr>
            <w:r>
              <w:rPr>
                <w:sz w:val="17"/>
              </w:rPr>
              <w:t>Qualified trading opportunities are clearly identified.</w:t>
            </w:r>
          </w:p>
        </w:tc>
      </w:tr>
      <w:tr>
        <w:tc>
          <w:tcPr>
            <w:tcW w:type="dxa" w:w="5112"/>
          </w:tcPr>
          <w:p>
            <w:pPr>
              <w:spacing w:after="0"/>
            </w:pPr>
            <w:r>
              <w:rPr>
                <w:sz w:val="17"/>
              </w:rPr>
              <w:t>Risk Management</w:t>
            </w:r>
          </w:p>
        </w:tc>
        <w:tc>
          <w:tcPr>
            <w:tcW w:type="dxa" w:w="5112"/>
          </w:tcPr>
          <w:p>
            <w:pPr>
              <w:spacing w:after="0"/>
            </w:pPr>
            <w:r>
              <w:rPr>
                <w:sz w:val="17"/>
              </w:rPr>
              <w:t>Unacceptable trades are blocked before execution.</w:t>
            </w:r>
          </w:p>
        </w:tc>
      </w:tr>
      <w:tr>
        <w:tc>
          <w:tcPr>
            <w:tcW w:type="dxa" w:w="5112"/>
          </w:tcPr>
          <w:p>
            <w:pPr>
              <w:spacing w:after="0"/>
            </w:pPr>
            <w:r>
              <w:rPr>
                <w:sz w:val="17"/>
              </w:rPr>
              <w:t>Order Management</w:t>
            </w:r>
          </w:p>
        </w:tc>
        <w:tc>
          <w:tcPr>
            <w:tcW w:type="dxa" w:w="5112"/>
          </w:tcPr>
          <w:p>
            <w:pPr>
              <w:spacing w:after="0"/>
            </w:pPr>
            <w:r>
              <w:rPr>
                <w:sz w:val="17"/>
              </w:rPr>
              <w:t>Orders are controlled and traceable.</w:t>
            </w:r>
          </w:p>
        </w:tc>
      </w:tr>
      <w:tr>
        <w:tc>
          <w:tcPr>
            <w:tcW w:type="dxa" w:w="5112"/>
          </w:tcPr>
          <w:p>
            <w:pPr>
              <w:spacing w:after="0"/>
            </w:pPr>
            <w:r>
              <w:rPr>
                <w:sz w:val="17"/>
              </w:rPr>
              <w:t>Position Management</w:t>
            </w:r>
          </w:p>
        </w:tc>
        <w:tc>
          <w:tcPr>
            <w:tcW w:type="dxa" w:w="5112"/>
          </w:tcPr>
          <w:p>
            <w:pPr>
              <w:spacing w:after="0"/>
            </w:pPr>
            <w:r>
              <w:rPr>
                <w:sz w:val="17"/>
              </w:rPr>
              <w:t>Open exposure and exits are accurately tracked.</w:t>
            </w:r>
          </w:p>
        </w:tc>
      </w:tr>
      <w:tr>
        <w:tc>
          <w:tcPr>
            <w:tcW w:type="dxa" w:w="5112"/>
          </w:tcPr>
          <w:p>
            <w:pPr>
              <w:spacing w:after="0"/>
            </w:pPr>
            <w:r>
              <w:rPr>
                <w:sz w:val="17"/>
              </w:rPr>
              <w:t>P&amp;L Management</w:t>
            </w:r>
          </w:p>
        </w:tc>
        <w:tc>
          <w:tcPr>
            <w:tcW w:type="dxa" w:w="5112"/>
          </w:tcPr>
          <w:p>
            <w:pPr>
              <w:spacing w:after="0"/>
            </w:pPr>
            <w:r>
              <w:rPr>
                <w:sz w:val="17"/>
              </w:rPr>
              <w:t>Trading performance is visible.</w:t>
            </w:r>
          </w:p>
        </w:tc>
      </w:tr>
      <w:tr>
        <w:tc>
          <w:tcPr>
            <w:tcW w:type="dxa" w:w="5112"/>
          </w:tcPr>
          <w:p>
            <w:pPr>
              <w:spacing w:after="0"/>
            </w:pPr>
            <w:r>
              <w:rPr>
                <w:sz w:val="17"/>
              </w:rPr>
              <w:t>Backtesting</w:t>
            </w:r>
          </w:p>
        </w:tc>
        <w:tc>
          <w:tcPr>
            <w:tcW w:type="dxa" w:w="5112"/>
          </w:tcPr>
          <w:p>
            <w:pPr>
              <w:spacing w:after="0"/>
            </w:pPr>
            <w:r>
              <w:rPr>
                <w:sz w:val="17"/>
              </w:rPr>
              <w:t>Strategy behaviour can be evaluated before paper trading.</w:t>
            </w:r>
          </w:p>
        </w:tc>
      </w:tr>
      <w:tr>
        <w:tc>
          <w:tcPr>
            <w:tcW w:type="dxa" w:w="5112"/>
          </w:tcPr>
          <w:p>
            <w:pPr>
              <w:spacing w:after="0"/>
            </w:pPr>
            <w:r>
              <w:rPr>
                <w:sz w:val="17"/>
              </w:rPr>
              <w:t>Paper Trading</w:t>
            </w:r>
          </w:p>
        </w:tc>
        <w:tc>
          <w:tcPr>
            <w:tcW w:type="dxa" w:w="5112"/>
          </w:tcPr>
          <w:p>
            <w:pPr>
              <w:spacing w:after="0"/>
            </w:pPr>
            <w:r>
              <w:rPr>
                <w:sz w:val="17"/>
              </w:rPr>
              <w:t>End-to-end workflow can be validated without unrestricted financial exposure.</w:t>
            </w:r>
          </w:p>
        </w:tc>
      </w:tr>
      <w:tr>
        <w:tc>
          <w:tcPr>
            <w:tcW w:type="dxa" w:w="5112"/>
          </w:tcPr>
          <w:p>
            <w:pPr>
              <w:spacing w:after="0"/>
            </w:pPr>
            <w:r>
              <w:rPr>
                <w:sz w:val="17"/>
              </w:rPr>
              <w:t>Reconciliation</w:t>
            </w:r>
          </w:p>
        </w:tc>
        <w:tc>
          <w:tcPr>
            <w:tcW w:type="dxa" w:w="5112"/>
          </w:tcPr>
          <w:p>
            <w:pPr>
              <w:spacing w:after="0"/>
            </w:pPr>
            <w:r>
              <w:rPr>
                <w:sz w:val="17"/>
              </w:rPr>
              <w:t>Internal and broker records can be compared and exceptions identified.</w:t>
            </w:r>
          </w:p>
        </w:tc>
      </w:tr>
      <w:tr>
        <w:tc>
          <w:tcPr>
            <w:tcW w:type="dxa" w:w="5112"/>
          </w:tcPr>
          <w:p>
            <w:pPr>
              <w:spacing w:after="0"/>
            </w:pPr>
            <w:r>
              <w:rPr>
                <w:sz w:val="17"/>
              </w:rPr>
              <w:t>Audit &amp; Reporting</w:t>
            </w:r>
          </w:p>
        </w:tc>
        <w:tc>
          <w:tcPr>
            <w:tcW w:type="dxa" w:w="5112"/>
          </w:tcPr>
          <w:p>
            <w:pPr>
              <w:spacing w:after="0"/>
            </w:pPr>
            <w:r>
              <w:rPr>
                <w:sz w:val="17"/>
              </w:rPr>
              <w:t>Business and operational decisions are traceable.</w:t>
            </w:r>
          </w:p>
        </w:tc>
      </w:tr>
    </w:tbl>
    <w:p>
      <w:pPr>
        <w:pStyle w:val="Heading1"/>
      </w:pPr>
      <w:r>
        <w:t>12. Initial Strategy Business Requirements</w:t>
      </w:r>
    </w:p>
    <w:p>
      <w:r>
        <w:t>The initial strategy is a rule-based intraday trend-following hypothesis. V1 uses a 5-minute evaluation interval and may use EMA 9, EMA 21, RSI 14, volume and ATR. Exact thresholds are subject to validation.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Area</w:t>
            </w:r>
          </w:p>
        </w:tc>
        <w:tc>
          <w:tcPr>
            <w:tcW w:type="dxa" w:w="5112"/>
            <w:shd w:fill="D9EAF7"/>
          </w:tcPr>
          <w:p>
            <w:r>
              <w:rPr>
                <w:b/>
                <w:sz w:val="17"/>
              </w:rPr>
              <w:t>Requirement</w:t>
            </w:r>
          </w:p>
        </w:tc>
      </w:tr>
      <w:tr>
        <w:tc>
          <w:tcPr>
            <w:tcW w:type="dxa" w:w="5112"/>
          </w:tcPr>
          <w:p>
            <w:pPr>
              <w:spacing w:after="0"/>
            </w:pPr>
            <w:r>
              <w:rPr>
                <w:sz w:val="17"/>
              </w:rPr>
              <w:t>Timeframe</w:t>
            </w:r>
          </w:p>
        </w:tc>
        <w:tc>
          <w:tcPr>
            <w:tcW w:type="dxa" w:w="5112"/>
          </w:tcPr>
          <w:p>
            <w:pPr>
              <w:spacing w:after="0"/>
            </w:pPr>
            <w:r>
              <w:rPr>
                <w:sz w:val="17"/>
              </w:rPr>
              <w:t>Evaluate configured 5-minute market intervals for V1.</w:t>
            </w:r>
          </w:p>
        </w:tc>
      </w:tr>
      <w:tr>
        <w:tc>
          <w:tcPr>
            <w:tcW w:type="dxa" w:w="5112"/>
          </w:tcPr>
          <w:p>
            <w:pPr>
              <w:spacing w:after="0"/>
            </w:pPr>
            <w:r>
              <w:rPr>
                <w:sz w:val="17"/>
              </w:rPr>
              <w:t>Indicators</w:t>
            </w:r>
          </w:p>
        </w:tc>
        <w:tc>
          <w:tcPr>
            <w:tcW w:type="dxa" w:w="5112"/>
          </w:tcPr>
          <w:p>
            <w:pPr>
              <w:spacing w:after="0"/>
            </w:pPr>
            <w:r>
              <w:rPr>
                <w:sz w:val="17"/>
              </w:rPr>
              <w:t>Support EMA 9, EMA 21, RSI 14, volume and ATR.</w:t>
            </w:r>
          </w:p>
        </w:tc>
      </w:tr>
      <w:tr>
        <w:tc>
          <w:tcPr>
            <w:tcW w:type="dxa" w:w="5112"/>
          </w:tcPr>
          <w:p>
            <w:pPr>
              <w:spacing w:after="0"/>
            </w:pPr>
            <w:r>
              <w:rPr>
                <w:sz w:val="17"/>
              </w:rPr>
              <w:t>BUY Hypothesis</w:t>
            </w:r>
          </w:p>
        </w:tc>
        <w:tc>
          <w:tcPr>
            <w:tcW w:type="dxa" w:w="5112"/>
          </w:tcPr>
          <w:p>
            <w:pPr>
              <w:spacing w:after="0"/>
            </w:pPr>
            <w:r>
              <w:rPr>
                <w:sz w:val="17"/>
              </w:rPr>
              <w:t>EMA 9 above EMA 21, RSI above configured threshold, price above EMA 21 and volume confirmation.</w:t>
            </w:r>
          </w:p>
        </w:tc>
      </w:tr>
      <w:tr>
        <w:tc>
          <w:tcPr>
            <w:tcW w:type="dxa" w:w="5112"/>
          </w:tcPr>
          <w:p>
            <w:pPr>
              <w:spacing w:after="0"/>
            </w:pPr>
            <w:r>
              <w:rPr>
                <w:sz w:val="17"/>
              </w:rPr>
              <w:t>SELL Hypothesis</w:t>
            </w:r>
          </w:p>
        </w:tc>
        <w:tc>
          <w:tcPr>
            <w:tcW w:type="dxa" w:w="5112"/>
          </w:tcPr>
          <w:p>
            <w:pPr>
              <w:spacing w:after="0"/>
            </w:pPr>
            <w:r>
              <w:rPr>
                <w:sz w:val="17"/>
              </w:rPr>
              <w:t>EMA 9 below EMA 21, RSI below configured threshold, price below EMA 21 and volume confirmation.</w:t>
            </w:r>
          </w:p>
        </w:tc>
      </w:tr>
      <w:tr>
        <w:tc>
          <w:tcPr>
            <w:tcW w:type="dxa" w:w="5112"/>
          </w:tcPr>
          <w:p>
            <w:pPr>
              <w:spacing w:after="0"/>
            </w:pPr>
            <w:r>
              <w:rPr>
                <w:sz w:val="17"/>
              </w:rPr>
              <w:t>Exit</w:t>
            </w:r>
          </w:p>
        </w:tc>
        <w:tc>
          <w:tcPr>
            <w:tcW w:type="dxa" w:w="5112"/>
          </w:tcPr>
          <w:p>
            <w:pPr>
              <w:spacing w:after="0"/>
            </w:pPr>
            <w:r>
              <w:rPr>
                <w:sz w:val="17"/>
              </w:rPr>
              <w:t>Stop-loss, target, strategy reversal or market cutoff may trigger exit.</w:t>
            </w:r>
          </w:p>
        </w:tc>
      </w:tr>
      <w:tr>
        <w:tc>
          <w:tcPr>
            <w:tcW w:type="dxa" w:w="5112"/>
          </w:tcPr>
          <w:p>
            <w:pPr>
              <w:spacing w:after="0"/>
            </w:pPr>
            <w:r>
              <w:rPr>
                <w:sz w:val="17"/>
              </w:rPr>
              <w:t>Configurability</w:t>
            </w:r>
          </w:p>
        </w:tc>
        <w:tc>
          <w:tcPr>
            <w:tcW w:type="dxa" w:w="5112"/>
          </w:tcPr>
          <w:p>
            <w:pPr>
              <w:spacing w:after="0"/>
            </w:pPr>
            <w:r>
              <w:rPr>
                <w:sz w:val="17"/>
              </w:rPr>
              <w:t>Strategy parameters should be configurable for controlled testing.</w:t>
            </w:r>
          </w:p>
        </w:tc>
      </w:tr>
    </w:tbl>
    <w:p>
      <w:r>
        <w:t>These rules are a project hypothesis, not a profitability claim. Validation must include historical testing, transaction costs, slippage and out-of-sample analysis.</w:t>
      </w:r>
    </w:p>
    <w:p>
      <w:pPr>
        <w:pStyle w:val="Heading1"/>
      </w:pPr>
      <w:r>
        <w:t>13. Business Rules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Rule ID</w:t>
            </w:r>
          </w:p>
        </w:tc>
        <w:tc>
          <w:tcPr>
            <w:tcW w:type="dxa" w:w="5112"/>
            <w:shd w:fill="D9EAF7"/>
          </w:tcPr>
          <w:p>
            <w:r>
              <w:rPr>
                <w:b/>
                <w:sz w:val="17"/>
              </w:rPr>
              <w:t>Business Rule</w:t>
            </w:r>
          </w:p>
        </w:tc>
      </w:tr>
      <w:tr>
        <w:tc>
          <w:tcPr>
            <w:tcW w:type="dxa" w:w="5112"/>
          </w:tcPr>
          <w:p>
            <w:pPr>
              <w:spacing w:after="0"/>
            </w:pPr>
            <w:r>
              <w:rPr>
                <w:sz w:val="17"/>
              </w:rPr>
              <w:t>BRULE-001</w:t>
            </w:r>
          </w:p>
        </w:tc>
        <w:tc>
          <w:tcPr>
            <w:tcW w:type="dxa" w:w="5112"/>
          </w:tcPr>
          <w:p>
            <w:pPr>
              <w:spacing w:after="0"/>
            </w:pPr>
            <w:r>
              <w:rPr>
                <w:sz w:val="17"/>
              </w:rPr>
              <w:t>Market data must pass freshness/completeness checks before signal generation.</w:t>
            </w:r>
          </w:p>
        </w:tc>
      </w:tr>
      <w:tr>
        <w:tc>
          <w:tcPr>
            <w:tcW w:type="dxa" w:w="5112"/>
          </w:tcPr>
          <w:p>
            <w:pPr>
              <w:spacing w:after="0"/>
            </w:pPr>
            <w:r>
              <w:rPr>
                <w:sz w:val="17"/>
              </w:rPr>
              <w:t>BRULE-002</w:t>
            </w:r>
          </w:p>
        </w:tc>
        <w:tc>
          <w:tcPr>
            <w:tcW w:type="dxa" w:w="5112"/>
          </w:tcPr>
          <w:p>
            <w:pPr>
              <w:spacing w:after="0"/>
            </w:pPr>
            <w:r>
              <w:rPr>
                <w:sz w:val="17"/>
              </w:rPr>
              <w:t>A BUY signal requires all configured BUY conditions to be true.</w:t>
            </w:r>
          </w:p>
        </w:tc>
      </w:tr>
      <w:tr>
        <w:tc>
          <w:tcPr>
            <w:tcW w:type="dxa" w:w="5112"/>
          </w:tcPr>
          <w:p>
            <w:pPr>
              <w:spacing w:after="0"/>
            </w:pPr>
            <w:r>
              <w:rPr>
                <w:sz w:val="17"/>
              </w:rPr>
              <w:t>BRULE-003</w:t>
            </w:r>
          </w:p>
        </w:tc>
        <w:tc>
          <w:tcPr>
            <w:tcW w:type="dxa" w:w="5112"/>
          </w:tcPr>
          <w:p>
            <w:pPr>
              <w:spacing w:after="0"/>
            </w:pPr>
            <w:r>
              <w:rPr>
                <w:sz w:val="17"/>
              </w:rPr>
              <w:t>A SELL signal requires all configured SELL conditions to be true.</w:t>
            </w:r>
          </w:p>
        </w:tc>
      </w:tr>
      <w:tr>
        <w:tc>
          <w:tcPr>
            <w:tcW w:type="dxa" w:w="5112"/>
          </w:tcPr>
          <w:p>
            <w:pPr>
              <w:spacing w:after="0"/>
            </w:pPr>
            <w:r>
              <w:rPr>
                <w:sz w:val="17"/>
              </w:rPr>
              <w:t>BRULE-004</w:t>
            </w:r>
          </w:p>
        </w:tc>
        <w:tc>
          <w:tcPr>
            <w:tcW w:type="dxa" w:w="5112"/>
          </w:tcPr>
          <w:p>
            <w:pPr>
              <w:spacing w:after="0"/>
            </w:pPr>
            <w:r>
              <w:rPr>
                <w:sz w:val="17"/>
              </w:rPr>
              <w:t>A signal failing any mandatory risk rule must not create an executable order.</w:t>
            </w:r>
          </w:p>
        </w:tc>
      </w:tr>
      <w:tr>
        <w:tc>
          <w:tcPr>
            <w:tcW w:type="dxa" w:w="5112"/>
          </w:tcPr>
          <w:p>
            <w:pPr>
              <w:spacing w:after="0"/>
            </w:pPr>
            <w:r>
              <w:rPr>
                <w:sz w:val="17"/>
              </w:rPr>
              <w:t>BRULE-005</w:t>
            </w:r>
          </w:p>
        </w:tc>
        <w:tc>
          <w:tcPr>
            <w:tcW w:type="dxa" w:w="5112"/>
          </w:tcPr>
          <w:p>
            <w:pPr>
              <w:spacing w:after="0"/>
            </w:pPr>
            <w:r>
              <w:rPr>
                <w:sz w:val="17"/>
              </w:rPr>
              <w:t>Maximum daily loss must prevent new entries after the configured threshold is reached.</w:t>
            </w:r>
          </w:p>
        </w:tc>
      </w:tr>
      <w:tr>
        <w:tc>
          <w:tcPr>
            <w:tcW w:type="dxa" w:w="5112"/>
          </w:tcPr>
          <w:p>
            <w:pPr>
              <w:spacing w:after="0"/>
            </w:pPr>
            <w:r>
              <w:rPr>
                <w:sz w:val="17"/>
              </w:rPr>
              <w:t>BRULE-006</w:t>
            </w:r>
          </w:p>
        </w:tc>
        <w:tc>
          <w:tcPr>
            <w:tcW w:type="dxa" w:w="5112"/>
          </w:tcPr>
          <w:p>
            <w:pPr>
              <w:spacing w:after="0"/>
            </w:pPr>
            <w:r>
              <w:rPr>
                <w:sz w:val="17"/>
              </w:rPr>
              <w:t>Maximum position/quantity limits must be checked before order submission.</w:t>
            </w:r>
          </w:p>
        </w:tc>
      </w:tr>
      <w:tr>
        <w:tc>
          <w:tcPr>
            <w:tcW w:type="dxa" w:w="5112"/>
          </w:tcPr>
          <w:p>
            <w:pPr>
              <w:spacing w:after="0"/>
            </w:pPr>
            <w:r>
              <w:rPr>
                <w:sz w:val="17"/>
              </w:rPr>
              <w:t>BRULE-007</w:t>
            </w:r>
          </w:p>
        </w:tc>
        <w:tc>
          <w:tcPr>
            <w:tcW w:type="dxa" w:w="5112"/>
          </w:tcPr>
          <w:p>
            <w:pPr>
              <w:spacing w:after="0"/>
            </w:pPr>
            <w:r>
              <w:rPr>
                <w:sz w:val="17"/>
              </w:rPr>
              <w:t>Duplicate actionable signals must not create duplicate orders.</w:t>
            </w:r>
          </w:p>
        </w:tc>
      </w:tr>
      <w:tr>
        <w:tc>
          <w:tcPr>
            <w:tcW w:type="dxa" w:w="5112"/>
          </w:tcPr>
          <w:p>
            <w:pPr>
              <w:spacing w:after="0"/>
            </w:pPr>
            <w:r>
              <w:rPr>
                <w:sz w:val="17"/>
              </w:rPr>
              <w:t>BRULE-008</w:t>
            </w:r>
          </w:p>
        </w:tc>
        <w:tc>
          <w:tcPr>
            <w:tcW w:type="dxa" w:w="5112"/>
          </w:tcPr>
          <w:p>
            <w:pPr>
              <w:spacing w:after="0"/>
            </w:pPr>
            <w:r>
              <w:rPr>
                <w:sz w:val="17"/>
              </w:rPr>
              <w:t>New positions must have an approved exit/risk configuration.</w:t>
            </w:r>
          </w:p>
        </w:tc>
      </w:tr>
      <w:tr>
        <w:tc>
          <w:tcPr>
            <w:tcW w:type="dxa" w:w="5112"/>
          </w:tcPr>
          <w:p>
            <w:pPr>
              <w:spacing w:after="0"/>
            </w:pPr>
            <w:r>
              <w:rPr>
                <w:sz w:val="17"/>
              </w:rPr>
              <w:t>BRULE-009</w:t>
            </w:r>
          </w:p>
        </w:tc>
        <w:tc>
          <w:tcPr>
            <w:tcW w:type="dxa" w:w="5112"/>
          </w:tcPr>
          <w:p>
            <w:pPr>
              <w:spacing w:after="0"/>
            </w:pPr>
            <w:r>
              <w:rPr>
                <w:sz w:val="17"/>
              </w:rPr>
              <w:t>New entries must be blocked after the configured trading cutoff.</w:t>
            </w:r>
          </w:p>
        </w:tc>
      </w:tr>
      <w:tr>
        <w:tc>
          <w:tcPr>
            <w:tcW w:type="dxa" w:w="5112"/>
          </w:tcPr>
          <w:p>
            <w:pPr>
              <w:spacing w:after="0"/>
            </w:pPr>
            <w:r>
              <w:rPr>
                <w:sz w:val="17"/>
              </w:rPr>
              <w:t>BRULE-010</w:t>
            </w:r>
          </w:p>
        </w:tc>
        <w:tc>
          <w:tcPr>
            <w:tcW w:type="dxa" w:w="5112"/>
          </w:tcPr>
          <w:p>
            <w:pPr>
              <w:spacing w:after="0"/>
            </w:pPr>
            <w:r>
              <w:rPr>
                <w:sz w:val="17"/>
              </w:rPr>
              <w:t>Order status must be updated from broker responses.</w:t>
            </w:r>
          </w:p>
        </w:tc>
      </w:tr>
      <w:tr>
        <w:tc>
          <w:tcPr>
            <w:tcW w:type="dxa" w:w="5112"/>
          </w:tcPr>
          <w:p>
            <w:pPr>
              <w:spacing w:after="0"/>
            </w:pPr>
            <w:r>
              <w:rPr>
                <w:sz w:val="17"/>
              </w:rPr>
              <w:t>BRULE-011</w:t>
            </w:r>
          </w:p>
        </w:tc>
        <w:tc>
          <w:tcPr>
            <w:tcW w:type="dxa" w:w="5112"/>
          </w:tcPr>
          <w:p>
            <w:pPr>
              <w:spacing w:after="0"/>
            </w:pPr>
            <w:r>
              <w:rPr>
                <w:sz w:val="17"/>
              </w:rPr>
              <w:t>Positions must be updated only from confirmed execution information.</w:t>
            </w:r>
          </w:p>
        </w:tc>
      </w:tr>
      <w:tr>
        <w:tc>
          <w:tcPr>
            <w:tcW w:type="dxa" w:w="5112"/>
          </w:tcPr>
          <w:p>
            <w:pPr>
              <w:spacing w:after="0"/>
            </w:pPr>
            <w:r>
              <w:rPr>
                <w:sz w:val="17"/>
              </w:rPr>
              <w:t>BRULE-012</w:t>
            </w:r>
          </w:p>
        </w:tc>
        <w:tc>
          <w:tcPr>
            <w:tcW w:type="dxa" w:w="5112"/>
          </w:tcPr>
          <w:p>
            <w:pPr>
              <w:spacing w:after="0"/>
            </w:pPr>
            <w:r>
              <w:rPr>
                <w:sz w:val="17"/>
              </w:rPr>
              <w:t>Material signal, risk and order events must be timestamped and auditable.</w:t>
            </w:r>
          </w:p>
        </w:tc>
      </w:tr>
    </w:tbl>
    <w:p>
      <w:pPr>
        <w:pStyle w:val="Heading1"/>
      </w:pPr>
      <w:r>
        <w:t>14. Business Data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Data Domain</w:t>
            </w:r>
          </w:p>
        </w:tc>
        <w:tc>
          <w:tcPr>
            <w:tcW w:type="dxa" w:w="5112"/>
            <w:shd w:fill="D9EAF7"/>
          </w:tcPr>
          <w:p>
            <w:r>
              <w:rPr>
                <w:b/>
                <w:sz w:val="17"/>
              </w:rPr>
              <w:t>Required Business Information</w:t>
            </w:r>
          </w:p>
        </w:tc>
      </w:tr>
      <w:tr>
        <w:tc>
          <w:tcPr>
            <w:tcW w:type="dxa" w:w="5112"/>
          </w:tcPr>
          <w:p>
            <w:pPr>
              <w:spacing w:after="0"/>
            </w:pPr>
            <w:r>
              <w:rPr>
                <w:sz w:val="17"/>
              </w:rPr>
              <w:t>Market Data</w:t>
            </w:r>
          </w:p>
        </w:tc>
        <w:tc>
          <w:tcPr>
            <w:tcW w:type="dxa" w:w="5112"/>
          </w:tcPr>
          <w:p>
            <w:pPr>
              <w:spacing w:after="0"/>
            </w:pPr>
            <w:r>
              <w:rPr>
                <w:sz w:val="17"/>
              </w:rPr>
              <w:t>Timestamp, symbol, OHLCV, data status.</w:t>
            </w:r>
          </w:p>
        </w:tc>
      </w:tr>
      <w:tr>
        <w:tc>
          <w:tcPr>
            <w:tcW w:type="dxa" w:w="5112"/>
          </w:tcPr>
          <w:p>
            <w:pPr>
              <w:spacing w:after="0"/>
            </w:pPr>
            <w:r>
              <w:rPr>
                <w:sz w:val="17"/>
              </w:rPr>
              <w:t>Indicators</w:t>
            </w:r>
          </w:p>
        </w:tc>
        <w:tc>
          <w:tcPr>
            <w:tcW w:type="dxa" w:w="5112"/>
          </w:tcPr>
          <w:p>
            <w:pPr>
              <w:spacing w:after="0"/>
            </w:pPr>
            <w:r>
              <w:rPr>
                <w:sz w:val="17"/>
              </w:rPr>
              <w:t>Indicator name, period, calculated value, calculation timestamp.</w:t>
            </w:r>
          </w:p>
        </w:tc>
      </w:tr>
      <w:tr>
        <w:tc>
          <w:tcPr>
            <w:tcW w:type="dxa" w:w="5112"/>
          </w:tcPr>
          <w:p>
            <w:pPr>
              <w:spacing w:after="0"/>
            </w:pPr>
            <w:r>
              <w:rPr>
                <w:sz w:val="17"/>
              </w:rPr>
              <w:t>Signal</w:t>
            </w:r>
          </w:p>
        </w:tc>
        <w:tc>
          <w:tcPr>
            <w:tcW w:type="dxa" w:w="5112"/>
          </w:tcPr>
          <w:p>
            <w:pPr>
              <w:spacing w:after="0"/>
            </w:pPr>
            <w:r>
              <w:rPr>
                <w:sz w:val="17"/>
              </w:rPr>
              <w:t>Signal ID, symbol, timestamp, type, strategy version, entry reference, status.</w:t>
            </w:r>
          </w:p>
        </w:tc>
      </w:tr>
      <w:tr>
        <w:tc>
          <w:tcPr>
            <w:tcW w:type="dxa" w:w="5112"/>
          </w:tcPr>
          <w:p>
            <w:pPr>
              <w:spacing w:after="0"/>
            </w:pPr>
            <w:r>
              <w:rPr>
                <w:sz w:val="17"/>
              </w:rPr>
              <w:t>Risk Decision</w:t>
            </w:r>
          </w:p>
        </w:tc>
        <w:tc>
          <w:tcPr>
            <w:tcW w:type="dxa" w:w="5112"/>
          </w:tcPr>
          <w:p>
            <w:pPr>
              <w:spacing w:after="0"/>
            </w:pPr>
            <w:r>
              <w:rPr>
                <w:sz w:val="17"/>
              </w:rPr>
              <w:t>Signal ID, rule evaluated, result, reason, timestamp.</w:t>
            </w:r>
          </w:p>
        </w:tc>
      </w:tr>
      <w:tr>
        <w:tc>
          <w:tcPr>
            <w:tcW w:type="dxa" w:w="5112"/>
          </w:tcPr>
          <w:p>
            <w:pPr>
              <w:spacing w:after="0"/>
            </w:pPr>
            <w:r>
              <w:rPr>
                <w:sz w:val="17"/>
              </w:rPr>
              <w:t>Order</w:t>
            </w:r>
          </w:p>
        </w:tc>
        <w:tc>
          <w:tcPr>
            <w:tcW w:type="dxa" w:w="5112"/>
          </w:tcPr>
          <w:p>
            <w:pPr>
              <w:spacing w:after="0"/>
            </w:pPr>
            <w:r>
              <w:rPr>
                <w:sz w:val="17"/>
              </w:rPr>
              <w:t>Order ID, signal ID, symbol, side, quantity, order type, price, status, timestamps.</w:t>
            </w:r>
          </w:p>
        </w:tc>
      </w:tr>
      <w:tr>
        <w:tc>
          <w:tcPr>
            <w:tcW w:type="dxa" w:w="5112"/>
          </w:tcPr>
          <w:p>
            <w:pPr>
              <w:spacing w:after="0"/>
            </w:pPr>
            <w:r>
              <w:rPr>
                <w:sz w:val="17"/>
              </w:rPr>
              <w:t>Execution</w:t>
            </w:r>
          </w:p>
        </w:tc>
        <w:tc>
          <w:tcPr>
            <w:tcW w:type="dxa" w:w="5112"/>
          </w:tcPr>
          <w:p>
            <w:pPr>
              <w:spacing w:after="0"/>
            </w:pPr>
            <w:r>
              <w:rPr>
                <w:sz w:val="17"/>
              </w:rPr>
              <w:t>Execution ID, order ID, executed quantity, execution price, execution timestamp.</w:t>
            </w:r>
          </w:p>
        </w:tc>
      </w:tr>
      <w:tr>
        <w:tc>
          <w:tcPr>
            <w:tcW w:type="dxa" w:w="5112"/>
          </w:tcPr>
          <w:p>
            <w:pPr>
              <w:spacing w:after="0"/>
            </w:pPr>
            <w:r>
              <w:rPr>
                <w:sz w:val="17"/>
              </w:rPr>
              <w:t>Position</w:t>
            </w:r>
          </w:p>
        </w:tc>
        <w:tc>
          <w:tcPr>
            <w:tcW w:type="dxa" w:w="5112"/>
          </w:tcPr>
          <w:p>
            <w:pPr>
              <w:spacing w:after="0"/>
            </w:pPr>
            <w:r>
              <w:rPr>
                <w:sz w:val="17"/>
              </w:rPr>
              <w:t>Position ID, symbol, quantity, average price, entry/exit time, status.</w:t>
            </w:r>
          </w:p>
        </w:tc>
      </w:tr>
      <w:tr>
        <w:tc>
          <w:tcPr>
            <w:tcW w:type="dxa" w:w="5112"/>
          </w:tcPr>
          <w:p>
            <w:pPr>
              <w:spacing w:after="0"/>
            </w:pPr>
            <w:r>
              <w:rPr>
                <w:sz w:val="17"/>
              </w:rPr>
              <w:t>Trade / P&amp;L</w:t>
            </w:r>
          </w:p>
        </w:tc>
        <w:tc>
          <w:tcPr>
            <w:tcW w:type="dxa" w:w="5112"/>
          </w:tcPr>
          <w:p>
            <w:pPr>
              <w:spacing w:after="0"/>
            </w:pPr>
            <w:r>
              <w:rPr>
                <w:sz w:val="17"/>
              </w:rPr>
              <w:t>Trade ID, entry, exit, quantity, gross P&amp;L, costs, net P&amp;L, exit reason.</w:t>
            </w:r>
          </w:p>
        </w:tc>
      </w:tr>
      <w:tr>
        <w:tc>
          <w:tcPr>
            <w:tcW w:type="dxa" w:w="5112"/>
          </w:tcPr>
          <w:p>
            <w:pPr>
              <w:spacing w:after="0"/>
            </w:pPr>
            <w:r>
              <w:rPr>
                <w:sz w:val="17"/>
              </w:rPr>
              <w:t>Audit</w:t>
            </w:r>
          </w:p>
        </w:tc>
        <w:tc>
          <w:tcPr>
            <w:tcW w:type="dxa" w:w="5112"/>
          </w:tcPr>
          <w:p>
            <w:pPr>
              <w:spacing w:after="0"/>
            </w:pPr>
            <w:r>
              <w:rPr>
                <w:sz w:val="17"/>
              </w:rPr>
              <w:t>Event type, entity ID, actor, timestamp, previous/new state.</w:t>
            </w:r>
          </w:p>
        </w:tc>
      </w:tr>
      <w:tr>
        <w:tc>
          <w:tcPr>
            <w:tcW w:type="dxa" w:w="5112"/>
          </w:tcPr>
          <w:p>
            <w:pPr>
              <w:spacing w:after="0"/>
            </w:pPr>
            <w:r>
              <w:rPr>
                <w:sz w:val="17"/>
              </w:rPr>
              <w:t>Reconciliation</w:t>
            </w:r>
          </w:p>
        </w:tc>
        <w:tc>
          <w:tcPr>
            <w:tcW w:type="dxa" w:w="5112"/>
          </w:tcPr>
          <w:p>
            <w:pPr>
              <w:spacing w:after="0"/>
            </w:pPr>
            <w:r>
              <w:rPr>
                <w:sz w:val="17"/>
              </w:rPr>
              <w:t>Internal value, broker value, variance, status, investigation details.</w:t>
            </w:r>
          </w:p>
        </w:tc>
      </w:tr>
    </w:tbl>
    <w:p>
      <w:pPr>
        <w:pStyle w:val="Heading1"/>
      </w:pPr>
      <w:r>
        <w:t>15. Reporting Requirements</w:t>
      </w:r>
    </w:p>
    <w:p>
      <w:pPr>
        <w:pStyle w:val="ListBullet"/>
        <w:spacing w:after="20"/>
      </w:pPr>
      <w:r>
        <w:t>Daily trading summary.</w:t>
      </w:r>
    </w:p>
    <w:p>
      <w:pPr>
        <w:pStyle w:val="ListBullet"/>
        <w:spacing w:after="20"/>
      </w:pPr>
      <w:r>
        <w:t>Open positions and exposure.</w:t>
      </w:r>
    </w:p>
    <w:p>
      <w:pPr>
        <w:pStyle w:val="ListBullet"/>
        <w:spacing w:after="20"/>
      </w:pPr>
      <w:r>
        <w:t>Realised and unrealised P&amp;L.</w:t>
      </w:r>
    </w:p>
    <w:p>
      <w:pPr>
        <w:pStyle w:val="ListBullet"/>
        <w:spacing w:after="20"/>
      </w:pPr>
      <w:r>
        <w:t>Trade-level history.</w:t>
      </w:r>
    </w:p>
    <w:p>
      <w:pPr>
        <w:pStyle w:val="ListBullet"/>
        <w:spacing w:after="20"/>
      </w:pPr>
      <w:r>
        <w:t>Win/loss statistics.</w:t>
      </w:r>
    </w:p>
    <w:p>
      <w:pPr>
        <w:pStyle w:val="ListBullet"/>
        <w:spacing w:after="20"/>
      </w:pPr>
      <w:r>
        <w:t>Profit factor and drawdown.</w:t>
      </w:r>
    </w:p>
    <w:p>
      <w:pPr>
        <w:pStyle w:val="ListBullet"/>
        <w:spacing w:after="20"/>
      </w:pPr>
      <w:r>
        <w:t>Strategy-level performance.</w:t>
      </w:r>
    </w:p>
    <w:p>
      <w:pPr>
        <w:pStyle w:val="ListBullet"/>
        <w:spacing w:after="20"/>
      </w:pPr>
      <w:r>
        <w:t>Rejected signals and orders.</w:t>
      </w:r>
    </w:p>
    <w:p>
      <w:pPr>
        <w:pStyle w:val="ListBullet"/>
        <w:spacing w:after="20"/>
      </w:pPr>
      <w:r>
        <w:t>Broker/API exceptions.</w:t>
      </w:r>
    </w:p>
    <w:p>
      <w:pPr>
        <w:pStyle w:val="ListBullet"/>
        <w:spacing w:after="20"/>
      </w:pPr>
      <w:r>
        <w:t>Reconciliation exceptions.</w:t>
      </w:r>
    </w:p>
    <w:p>
      <w:pPr>
        <w:pStyle w:val="ListBullet"/>
        <w:spacing w:after="20"/>
      </w:pPr>
      <w:r>
        <w:t>Audit event history.</w:t>
      </w:r>
    </w:p>
    <w:p>
      <w:pPr>
        <w:pStyle w:val="Heading1"/>
      </w:pPr>
      <w:r>
        <w:t>16. Exception / Business Failure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Scenario</w:t>
            </w:r>
          </w:p>
        </w:tc>
        <w:tc>
          <w:tcPr>
            <w:tcW w:type="dxa" w:w="5112"/>
            <w:shd w:fill="D9EAF7"/>
          </w:tcPr>
          <w:p>
            <w:r>
              <w:rPr>
                <w:b/>
                <w:sz w:val="17"/>
              </w:rPr>
              <w:t>Expected Business Outcome</w:t>
            </w:r>
          </w:p>
        </w:tc>
      </w:tr>
      <w:tr>
        <w:tc>
          <w:tcPr>
            <w:tcW w:type="dxa" w:w="5112"/>
          </w:tcPr>
          <w:p>
            <w:pPr>
              <w:spacing w:after="0"/>
            </w:pPr>
            <w:r>
              <w:rPr>
                <w:sz w:val="17"/>
              </w:rPr>
              <w:t>Market data unavailable</w:t>
            </w:r>
          </w:p>
        </w:tc>
        <w:tc>
          <w:tcPr>
            <w:tcW w:type="dxa" w:w="5112"/>
          </w:tcPr>
          <w:p>
            <w:pPr>
              <w:spacing w:after="0"/>
            </w:pPr>
            <w:r>
              <w:rPr>
                <w:sz w:val="17"/>
              </w:rPr>
              <w:t>Do not generate new signals; record exception.</w:t>
            </w:r>
          </w:p>
        </w:tc>
      </w:tr>
      <w:tr>
        <w:tc>
          <w:tcPr>
            <w:tcW w:type="dxa" w:w="5112"/>
          </w:tcPr>
          <w:p>
            <w:pPr>
              <w:spacing w:after="0"/>
            </w:pPr>
            <w:r>
              <w:rPr>
                <w:sz w:val="17"/>
              </w:rPr>
              <w:t>Stale market data</w:t>
            </w:r>
          </w:p>
        </w:tc>
        <w:tc>
          <w:tcPr>
            <w:tcW w:type="dxa" w:w="5112"/>
          </w:tcPr>
          <w:p>
            <w:pPr>
              <w:spacing w:after="0"/>
            </w:pPr>
            <w:r>
              <w:rPr>
                <w:sz w:val="17"/>
              </w:rPr>
              <w:t>Block signal generation until data is valid.</w:t>
            </w:r>
          </w:p>
        </w:tc>
      </w:tr>
      <w:tr>
        <w:tc>
          <w:tcPr>
            <w:tcW w:type="dxa" w:w="5112"/>
          </w:tcPr>
          <w:p>
            <w:pPr>
              <w:spacing w:after="0"/>
            </w:pPr>
            <w:r>
              <w:rPr>
                <w:sz w:val="17"/>
              </w:rPr>
              <w:t>Risk validation failure</w:t>
            </w:r>
          </w:p>
        </w:tc>
        <w:tc>
          <w:tcPr>
            <w:tcW w:type="dxa" w:w="5112"/>
          </w:tcPr>
          <w:p>
            <w:pPr>
              <w:spacing w:after="0"/>
            </w:pPr>
            <w:r>
              <w:rPr>
                <w:sz w:val="17"/>
              </w:rPr>
              <w:t>Reject signal/order and record reason.</w:t>
            </w:r>
          </w:p>
        </w:tc>
      </w:tr>
      <w:tr>
        <w:tc>
          <w:tcPr>
            <w:tcW w:type="dxa" w:w="5112"/>
          </w:tcPr>
          <w:p>
            <w:pPr>
              <w:spacing w:after="0"/>
            </w:pPr>
            <w:r>
              <w:rPr>
                <w:sz w:val="17"/>
              </w:rPr>
              <w:t>Duplicate signal</w:t>
            </w:r>
          </w:p>
        </w:tc>
        <w:tc>
          <w:tcPr>
            <w:tcW w:type="dxa" w:w="5112"/>
          </w:tcPr>
          <w:p>
            <w:pPr>
              <w:spacing w:after="0"/>
            </w:pPr>
            <w:r>
              <w:rPr>
                <w:sz w:val="17"/>
              </w:rPr>
              <w:t>Prevent duplicate order and record decision.</w:t>
            </w:r>
          </w:p>
        </w:tc>
      </w:tr>
      <w:tr>
        <w:tc>
          <w:tcPr>
            <w:tcW w:type="dxa" w:w="5112"/>
          </w:tcPr>
          <w:p>
            <w:pPr>
              <w:spacing w:after="0"/>
            </w:pPr>
            <w:r>
              <w:rPr>
                <w:sz w:val="17"/>
              </w:rPr>
              <w:t>Broker rejection</w:t>
            </w:r>
          </w:p>
        </w:tc>
        <w:tc>
          <w:tcPr>
            <w:tcW w:type="dxa" w:w="5112"/>
          </w:tcPr>
          <w:p>
            <w:pPr>
              <w:spacing w:after="0"/>
            </w:pPr>
            <w:r>
              <w:rPr>
                <w:sz w:val="17"/>
              </w:rPr>
              <w:t>Update order status and create operational exception.</w:t>
            </w:r>
          </w:p>
        </w:tc>
      </w:tr>
      <w:tr>
        <w:tc>
          <w:tcPr>
            <w:tcW w:type="dxa" w:w="5112"/>
          </w:tcPr>
          <w:p>
            <w:pPr>
              <w:spacing w:after="0"/>
            </w:pPr>
            <w:r>
              <w:rPr>
                <w:sz w:val="17"/>
              </w:rPr>
              <w:t>Broker timeout</w:t>
            </w:r>
          </w:p>
        </w:tc>
        <w:tc>
          <w:tcPr>
            <w:tcW w:type="dxa" w:w="5112"/>
          </w:tcPr>
          <w:p>
            <w:pPr>
              <w:spacing w:after="0"/>
            </w:pPr>
            <w:r>
              <w:rPr>
                <w:sz w:val="17"/>
              </w:rPr>
              <w:t>Do not blindly create another order; reconcile order state.</w:t>
            </w:r>
          </w:p>
        </w:tc>
      </w:tr>
      <w:tr>
        <w:tc>
          <w:tcPr>
            <w:tcW w:type="dxa" w:w="5112"/>
          </w:tcPr>
          <w:p>
            <w:pPr>
              <w:spacing w:after="0"/>
            </w:pPr>
            <w:r>
              <w:rPr>
                <w:sz w:val="17"/>
              </w:rPr>
              <w:t>Insufficient funds/margin</w:t>
            </w:r>
          </w:p>
        </w:tc>
        <w:tc>
          <w:tcPr>
            <w:tcW w:type="dxa" w:w="5112"/>
          </w:tcPr>
          <w:p>
            <w:pPr>
              <w:spacing w:after="0"/>
            </w:pPr>
            <w:r>
              <w:rPr>
                <w:sz w:val="17"/>
              </w:rPr>
              <w:t>Reject order and record reason.</w:t>
            </w:r>
          </w:p>
        </w:tc>
      </w:tr>
      <w:tr>
        <w:tc>
          <w:tcPr>
            <w:tcW w:type="dxa" w:w="5112"/>
          </w:tcPr>
          <w:p>
            <w:pPr>
              <w:spacing w:after="0"/>
            </w:pPr>
            <w:r>
              <w:rPr>
                <w:sz w:val="17"/>
              </w:rPr>
              <w:t>Position mismatch</w:t>
            </w:r>
          </w:p>
        </w:tc>
        <w:tc>
          <w:tcPr>
            <w:tcW w:type="dxa" w:w="5112"/>
          </w:tcPr>
          <w:p>
            <w:pPr>
              <w:spacing w:after="0"/>
            </w:pPr>
            <w:r>
              <w:rPr>
                <w:sz w:val="17"/>
              </w:rPr>
              <w:t>Create reconciliation exception and alert operations.</w:t>
            </w:r>
          </w:p>
        </w:tc>
      </w:tr>
      <w:tr>
        <w:tc>
          <w:tcPr>
            <w:tcW w:type="dxa" w:w="5112"/>
          </w:tcPr>
          <w:p>
            <w:pPr>
              <w:spacing w:after="0"/>
            </w:pPr>
            <w:r>
              <w:rPr>
                <w:sz w:val="17"/>
              </w:rPr>
              <w:t>System failure</w:t>
            </w:r>
          </w:p>
        </w:tc>
        <w:tc>
          <w:tcPr>
            <w:tcW w:type="dxa" w:w="5112"/>
          </w:tcPr>
          <w:p>
            <w:pPr>
              <w:spacing w:after="0"/>
            </w:pPr>
            <w:r>
              <w:rPr>
                <w:sz w:val="17"/>
              </w:rPr>
              <w:t>Fail safely and preserve recoverable audit/order state.</w:t>
            </w:r>
          </w:p>
        </w:tc>
      </w:tr>
    </w:tbl>
    <w:p>
      <w:pPr>
        <w:pStyle w:val="Heading1"/>
      </w:pPr>
      <w:r>
        <w:t>17. Non-Functional Business Expectations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Area</w:t>
            </w:r>
          </w:p>
        </w:tc>
        <w:tc>
          <w:tcPr>
            <w:tcW w:type="dxa" w:w="5112"/>
            <w:shd w:fill="D9EAF7"/>
          </w:tcPr>
          <w:p>
            <w:r>
              <w:rPr>
                <w:b/>
                <w:sz w:val="17"/>
              </w:rPr>
              <w:t>Business Expectation</w:t>
            </w:r>
          </w:p>
        </w:tc>
      </w:tr>
      <w:tr>
        <w:tc>
          <w:tcPr>
            <w:tcW w:type="dxa" w:w="5112"/>
          </w:tcPr>
          <w:p>
            <w:pPr>
              <w:spacing w:after="0"/>
            </w:pPr>
            <w:r>
              <w:rPr>
                <w:sz w:val="17"/>
              </w:rPr>
              <w:t>Security</w:t>
            </w:r>
          </w:p>
        </w:tc>
        <w:tc>
          <w:tcPr>
            <w:tcW w:type="dxa" w:w="5112"/>
          </w:tcPr>
          <w:p>
            <w:pPr>
              <w:spacing w:after="0"/>
            </w:pPr>
            <w:r>
              <w:rPr>
                <w:sz w:val="17"/>
              </w:rPr>
              <w:t>API secrets and credentials must be protected.</w:t>
            </w:r>
          </w:p>
        </w:tc>
      </w:tr>
      <w:tr>
        <w:tc>
          <w:tcPr>
            <w:tcW w:type="dxa" w:w="5112"/>
          </w:tcPr>
          <w:p>
            <w:pPr>
              <w:spacing w:after="0"/>
            </w:pPr>
            <w:r>
              <w:rPr>
                <w:sz w:val="17"/>
              </w:rPr>
              <w:t>Auditability</w:t>
            </w:r>
          </w:p>
        </w:tc>
        <w:tc>
          <w:tcPr>
            <w:tcW w:type="dxa" w:w="5112"/>
          </w:tcPr>
          <w:p>
            <w:pPr>
              <w:spacing w:after="0"/>
            </w:pPr>
            <w:r>
              <w:rPr>
                <w:sz w:val="17"/>
              </w:rPr>
              <w:t>Material trading events must be timestamped and traceable.</w:t>
            </w:r>
          </w:p>
        </w:tc>
      </w:tr>
      <w:tr>
        <w:tc>
          <w:tcPr>
            <w:tcW w:type="dxa" w:w="5112"/>
          </w:tcPr>
          <w:p>
            <w:pPr>
              <w:spacing w:after="0"/>
            </w:pPr>
            <w:r>
              <w:rPr>
                <w:sz w:val="17"/>
              </w:rPr>
              <w:t>Reliability</w:t>
            </w:r>
          </w:p>
        </w:tc>
        <w:tc>
          <w:tcPr>
            <w:tcW w:type="dxa" w:w="5112"/>
          </w:tcPr>
          <w:p>
            <w:pPr>
              <w:spacing w:after="0"/>
            </w:pPr>
            <w:r>
              <w:rPr>
                <w:sz w:val="17"/>
              </w:rPr>
              <w:t>Integration failures must fail safely and produce actionable exceptions.</w:t>
            </w:r>
          </w:p>
        </w:tc>
      </w:tr>
      <w:tr>
        <w:tc>
          <w:tcPr>
            <w:tcW w:type="dxa" w:w="5112"/>
          </w:tcPr>
          <w:p>
            <w:pPr>
              <w:spacing w:after="0"/>
            </w:pPr>
            <w:r>
              <w:rPr>
                <w:sz w:val="17"/>
              </w:rPr>
              <w:t>Performance</w:t>
            </w:r>
          </w:p>
        </w:tc>
        <w:tc>
          <w:tcPr>
            <w:tcW w:type="dxa" w:w="5112"/>
          </w:tcPr>
          <w:p>
            <w:pPr>
              <w:spacing w:after="0"/>
            </w:pPr>
            <w:r>
              <w:rPr>
                <w:sz w:val="17"/>
              </w:rPr>
              <w:t>Signal evaluation must complete within the configured decision window.</w:t>
            </w:r>
          </w:p>
        </w:tc>
      </w:tr>
      <w:tr>
        <w:tc>
          <w:tcPr>
            <w:tcW w:type="dxa" w:w="5112"/>
          </w:tcPr>
          <w:p>
            <w:pPr>
              <w:spacing w:after="0"/>
            </w:pPr>
            <w:r>
              <w:rPr>
                <w:sz w:val="17"/>
              </w:rPr>
              <w:t>Maintainability</w:t>
            </w:r>
          </w:p>
        </w:tc>
        <w:tc>
          <w:tcPr>
            <w:tcW w:type="dxa" w:w="5112"/>
          </w:tcPr>
          <w:p>
            <w:pPr>
              <w:spacing w:after="0"/>
            </w:pPr>
            <w:r>
              <w:rPr>
                <w:sz w:val="17"/>
              </w:rPr>
              <w:t>Strategy and risk parameters should be configurable.</w:t>
            </w:r>
          </w:p>
        </w:tc>
      </w:tr>
      <w:tr>
        <w:tc>
          <w:tcPr>
            <w:tcW w:type="dxa" w:w="5112"/>
          </w:tcPr>
          <w:p>
            <w:pPr>
              <w:spacing w:after="0"/>
            </w:pPr>
            <w:r>
              <w:rPr>
                <w:sz w:val="17"/>
              </w:rPr>
              <w:t>Availability</w:t>
            </w:r>
          </w:p>
        </w:tc>
        <w:tc>
          <w:tcPr>
            <w:tcW w:type="dxa" w:w="5112"/>
          </w:tcPr>
          <w:p>
            <w:pPr>
              <w:spacing w:after="0"/>
            </w:pPr>
            <w:r>
              <w:rPr>
                <w:sz w:val="17"/>
              </w:rPr>
              <w:t>Operations should identify service health and failures.</w:t>
            </w:r>
          </w:p>
        </w:tc>
      </w:tr>
      <w:tr>
        <w:tc>
          <w:tcPr>
            <w:tcW w:type="dxa" w:w="5112"/>
          </w:tcPr>
          <w:p>
            <w:pPr>
              <w:spacing w:after="0"/>
            </w:pPr>
            <w:r>
              <w:rPr>
                <w:sz w:val="17"/>
              </w:rPr>
              <w:t>Scalability</w:t>
            </w:r>
          </w:p>
        </w:tc>
        <w:tc>
          <w:tcPr>
            <w:tcW w:type="dxa" w:w="5112"/>
          </w:tcPr>
          <w:p>
            <w:pPr>
              <w:spacing w:after="0"/>
            </w:pPr>
            <w:r>
              <w:rPr>
                <w:sz w:val="17"/>
              </w:rPr>
              <w:t>Design should allow additional strategies/instruments later.</w:t>
            </w:r>
          </w:p>
        </w:tc>
      </w:tr>
    </w:tbl>
    <w:p>
      <w:pPr>
        <w:pStyle w:val="Heading1"/>
      </w:pPr>
      <w:r>
        <w:t>18. Assumptions</w:t>
      </w:r>
    </w:p>
    <w:p>
      <w:pPr>
        <w:pStyle w:val="ListBullet"/>
        <w:spacing w:after="20"/>
      </w:pPr>
      <w:r>
        <w:t>A suitable market-data source is available.</w:t>
      </w:r>
    </w:p>
    <w:p>
      <w:pPr>
        <w:pStyle w:val="ListBullet"/>
        <w:spacing w:after="20"/>
      </w:pPr>
      <w:r>
        <w:t>The broker provides a supported API and paper-trading capability.</w:t>
      </w:r>
    </w:p>
    <w:p>
      <w:pPr>
        <w:pStyle w:val="ListBullet"/>
        <w:spacing w:after="20"/>
      </w:pPr>
      <w:r>
        <w:t>Historical data is available for the selected backtest period.</w:t>
      </w:r>
    </w:p>
    <w:p>
      <w:pPr>
        <w:pStyle w:val="ListBullet"/>
        <w:spacing w:after="20"/>
      </w:pPr>
      <w:r>
        <w:t>Strategy and risk parameters can be configured.</w:t>
      </w:r>
    </w:p>
    <w:p>
      <w:pPr>
        <w:pStyle w:val="ListBullet"/>
        <w:spacing w:after="20"/>
      </w:pPr>
      <w:r>
        <w:t>V1 uses a single primary instrument.</w:t>
      </w:r>
    </w:p>
    <w:p>
      <w:pPr>
        <w:pStyle w:val="ListBullet"/>
        <w:spacing w:after="20"/>
      </w:pPr>
      <w:r>
        <w:t>Paper trading is completed before live-trading consideration.</w:t>
      </w:r>
    </w:p>
    <w:p>
      <w:pPr>
        <w:pStyle w:val="Heading1"/>
      </w:pPr>
      <w:r>
        <w:t>19. Dependencies</w:t>
      </w:r>
    </w:p>
    <w:p>
      <w:pPr>
        <w:pStyle w:val="ListBullet"/>
        <w:spacing w:after="20"/>
      </w:pPr>
      <w:r>
        <w:t>Market-data provider availability and quality.</w:t>
      </w:r>
    </w:p>
    <w:p>
      <w:pPr>
        <w:pStyle w:val="ListBullet"/>
        <w:spacing w:after="20"/>
      </w:pPr>
      <w:r>
        <w:t>Broker API documentation, authentication and availability.</w:t>
      </w:r>
    </w:p>
    <w:p>
      <w:pPr>
        <w:pStyle w:val="ListBullet"/>
        <w:spacing w:after="20"/>
      </w:pPr>
      <w:r>
        <w:t>Historical market-data availability.</w:t>
      </w:r>
    </w:p>
    <w:p>
      <w:pPr>
        <w:pStyle w:val="ListBullet"/>
        <w:spacing w:after="20"/>
      </w:pPr>
      <w:r>
        <w:t>Database and application infrastructure.</w:t>
      </w:r>
    </w:p>
    <w:p>
      <w:pPr>
        <w:pStyle w:val="ListBullet"/>
        <w:spacing w:after="20"/>
      </w:pPr>
      <w:r>
        <w:t>Approved strategy parameters.</w:t>
      </w:r>
    </w:p>
    <w:p>
      <w:pPr>
        <w:pStyle w:val="ListBullet"/>
        <w:spacing w:after="20"/>
      </w:pPr>
      <w:r>
        <w:t>Risk configuration.</w:t>
      </w:r>
    </w:p>
    <w:p>
      <w:pPr>
        <w:pStyle w:val="ListBullet"/>
        <w:spacing w:after="20"/>
      </w:pPr>
      <w:r>
        <w:t>Paper-trading environment.</w:t>
      </w:r>
    </w:p>
    <w:p>
      <w:pPr>
        <w:pStyle w:val="Heading1"/>
      </w:pPr>
      <w:r>
        <w:t>20. Constraints</w:t>
      </w:r>
    </w:p>
    <w:p>
      <w:pPr>
        <w:pStyle w:val="ListBullet"/>
        <w:spacing w:after="20"/>
      </w:pPr>
      <w:r>
        <w:t>V1 is limited to NIFTY and the defined intraday workflow.</w:t>
      </w:r>
    </w:p>
    <w:p>
      <w:pPr>
        <w:pStyle w:val="ListBullet"/>
        <w:spacing w:after="20"/>
      </w:pPr>
      <w:r>
        <w:t>Market data can contain latency or quality issues.</w:t>
      </w:r>
    </w:p>
    <w:p>
      <w:pPr>
        <w:pStyle w:val="ListBullet"/>
        <w:spacing w:after="20"/>
      </w:pPr>
      <w:r>
        <w:t>Backtesting does not guarantee future performance.</w:t>
      </w:r>
    </w:p>
    <w:p>
      <w:pPr>
        <w:pStyle w:val="ListBullet"/>
        <w:spacing w:after="20"/>
      </w:pPr>
      <w:r>
        <w:t>Simulation may differ from actual execution due to slippage and market conditions.</w:t>
      </w:r>
    </w:p>
    <w:p>
      <w:pPr>
        <w:pStyle w:val="ListBullet"/>
        <w:spacing w:after="20"/>
      </w:pPr>
      <w:r>
        <w:t>Live trading is not part of the initial business objective.</w:t>
      </w:r>
    </w:p>
    <w:p>
      <w:pPr>
        <w:pStyle w:val="Heading1"/>
      </w:pPr>
      <w:r>
        <w:t>21. Business Risk Register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Risk</w:t>
            </w:r>
          </w:p>
        </w:tc>
        <w:tc>
          <w:tcPr>
            <w:tcW w:type="dxa" w:w="3408"/>
            <w:shd w:fill="D9EAF7"/>
          </w:tcPr>
          <w:p>
            <w:r>
              <w:rPr>
                <w:b/>
                <w:sz w:val="17"/>
              </w:rPr>
              <w:t>Impact</w:t>
            </w:r>
          </w:p>
        </w:tc>
        <w:tc>
          <w:tcPr>
            <w:tcW w:type="dxa" w:w="3408"/>
            <w:shd w:fill="D9EAF7"/>
          </w:tcPr>
          <w:p>
            <w:r>
              <w:rPr>
                <w:b/>
                <w:sz w:val="17"/>
              </w:rPr>
              <w:t>Business Mitigation</w:t>
            </w:r>
          </w:p>
        </w:tc>
      </w:tr>
      <w:tr>
        <w:tc>
          <w:tcPr>
            <w:tcW w:type="dxa" w:w="3408"/>
          </w:tcPr>
          <w:p>
            <w:pPr>
              <w:spacing w:after="0"/>
            </w:pPr>
            <w:r>
              <w:rPr>
                <w:sz w:val="17"/>
              </w:rPr>
              <w:t>Strategy overfitting</w:t>
            </w:r>
          </w:p>
        </w:tc>
        <w:tc>
          <w:tcPr>
            <w:tcW w:type="dxa" w:w="3408"/>
          </w:tcPr>
          <w:p>
            <w:pPr>
              <w:spacing w:after="0"/>
            </w:pPr>
            <w:r>
              <w:rPr>
                <w:sz w:val="17"/>
              </w:rPr>
              <w:t>High</w:t>
            </w:r>
          </w:p>
        </w:tc>
        <w:tc>
          <w:tcPr>
            <w:tcW w:type="dxa" w:w="3408"/>
          </w:tcPr>
          <w:p>
            <w:pPr>
              <w:spacing w:after="0"/>
            </w:pPr>
            <w:r>
              <w:rPr>
                <w:sz w:val="17"/>
              </w:rPr>
              <w:t>Use validation/out-of-sample datasets and controlled parameter changes.</w:t>
            </w:r>
          </w:p>
        </w:tc>
      </w:tr>
      <w:tr>
        <w:tc>
          <w:tcPr>
            <w:tcW w:type="dxa" w:w="3408"/>
          </w:tcPr>
          <w:p>
            <w:pPr>
              <w:spacing w:after="0"/>
            </w:pPr>
            <w:r>
              <w:rPr>
                <w:sz w:val="17"/>
              </w:rPr>
              <w:t>Poor market-data quality</w:t>
            </w:r>
          </w:p>
        </w:tc>
        <w:tc>
          <w:tcPr>
            <w:tcW w:type="dxa" w:w="3408"/>
          </w:tcPr>
          <w:p>
            <w:pPr>
              <w:spacing w:after="0"/>
            </w:pPr>
            <w:r>
              <w:rPr>
                <w:sz w:val="17"/>
              </w:rPr>
              <w:t>High</w:t>
            </w:r>
          </w:p>
        </w:tc>
        <w:tc>
          <w:tcPr>
            <w:tcW w:type="dxa" w:w="3408"/>
          </w:tcPr>
          <w:p>
            <w:pPr>
              <w:spacing w:after="0"/>
            </w:pPr>
            <w:r>
              <w:rPr>
                <w:sz w:val="17"/>
              </w:rPr>
              <w:t>Freshness/completeness validation and safe blocking.</w:t>
            </w:r>
          </w:p>
        </w:tc>
      </w:tr>
      <w:tr>
        <w:tc>
          <w:tcPr>
            <w:tcW w:type="dxa" w:w="3408"/>
          </w:tcPr>
          <w:p>
            <w:pPr>
              <w:spacing w:after="0"/>
            </w:pPr>
            <w:r>
              <w:rPr>
                <w:sz w:val="17"/>
              </w:rPr>
              <w:t>Broker/API outage</w:t>
            </w:r>
          </w:p>
        </w:tc>
        <w:tc>
          <w:tcPr>
            <w:tcW w:type="dxa" w:w="3408"/>
          </w:tcPr>
          <w:p>
            <w:pPr>
              <w:spacing w:after="0"/>
            </w:pPr>
            <w:r>
              <w:rPr>
                <w:sz w:val="17"/>
              </w:rPr>
              <w:t>High</w:t>
            </w:r>
          </w:p>
        </w:tc>
        <w:tc>
          <w:tcPr>
            <w:tcW w:type="dxa" w:w="3408"/>
          </w:tcPr>
          <w:p>
            <w:pPr>
              <w:spacing w:after="0"/>
            </w:pPr>
            <w:r>
              <w:rPr>
                <w:sz w:val="17"/>
              </w:rPr>
              <w:t>Exception handling, controlled retry and reconciliation.</w:t>
            </w:r>
          </w:p>
        </w:tc>
      </w:tr>
      <w:tr>
        <w:tc>
          <w:tcPr>
            <w:tcW w:type="dxa" w:w="3408"/>
          </w:tcPr>
          <w:p>
            <w:pPr>
              <w:spacing w:after="0"/>
            </w:pPr>
            <w:r>
              <w:rPr>
                <w:sz w:val="17"/>
              </w:rPr>
              <w:t>Incorrect position sizing</w:t>
            </w:r>
          </w:p>
        </w:tc>
        <w:tc>
          <w:tcPr>
            <w:tcW w:type="dxa" w:w="3408"/>
          </w:tcPr>
          <w:p>
            <w:pPr>
              <w:spacing w:after="0"/>
            </w:pPr>
            <w:r>
              <w:rPr>
                <w:sz w:val="17"/>
              </w:rPr>
              <w:t>High</w:t>
            </w:r>
          </w:p>
        </w:tc>
        <w:tc>
          <w:tcPr>
            <w:tcW w:type="dxa" w:w="3408"/>
          </w:tcPr>
          <w:p>
            <w:pPr>
              <w:spacing w:after="0"/>
            </w:pPr>
            <w:r>
              <w:rPr>
                <w:sz w:val="17"/>
              </w:rPr>
              <w:t>Mandatory pre-order risk validation.</w:t>
            </w:r>
          </w:p>
        </w:tc>
      </w:tr>
      <w:tr>
        <w:tc>
          <w:tcPr>
            <w:tcW w:type="dxa" w:w="3408"/>
          </w:tcPr>
          <w:p>
            <w:pPr>
              <w:spacing w:after="0"/>
            </w:pPr>
            <w:r>
              <w:rPr>
                <w:sz w:val="17"/>
              </w:rPr>
              <w:t>Duplicate order</w:t>
            </w:r>
          </w:p>
        </w:tc>
        <w:tc>
          <w:tcPr>
            <w:tcW w:type="dxa" w:w="3408"/>
          </w:tcPr>
          <w:p>
            <w:pPr>
              <w:spacing w:after="0"/>
            </w:pPr>
            <w:r>
              <w:rPr>
                <w:sz w:val="17"/>
              </w:rPr>
              <w:t>High</w:t>
            </w:r>
          </w:p>
        </w:tc>
        <w:tc>
          <w:tcPr>
            <w:tcW w:type="dxa" w:w="3408"/>
          </w:tcPr>
          <w:p>
            <w:pPr>
              <w:spacing w:after="0"/>
            </w:pPr>
            <w:r>
              <w:rPr>
                <w:sz w:val="17"/>
              </w:rPr>
              <w:t>Idempotency and unique signal/order rules.</w:t>
            </w:r>
          </w:p>
        </w:tc>
      </w:tr>
      <w:tr>
        <w:tc>
          <w:tcPr>
            <w:tcW w:type="dxa" w:w="3408"/>
          </w:tcPr>
          <w:p>
            <w:pPr>
              <w:spacing w:after="0"/>
            </w:pPr>
            <w:r>
              <w:rPr>
                <w:sz w:val="17"/>
              </w:rPr>
              <w:t>Position mismatch</w:t>
            </w:r>
          </w:p>
        </w:tc>
        <w:tc>
          <w:tcPr>
            <w:tcW w:type="dxa" w:w="3408"/>
          </w:tcPr>
          <w:p>
            <w:pPr>
              <w:spacing w:after="0"/>
            </w:pPr>
            <w:r>
              <w:rPr>
                <w:sz w:val="17"/>
              </w:rPr>
              <w:t>High</w:t>
            </w:r>
          </w:p>
        </w:tc>
        <w:tc>
          <w:tcPr>
            <w:tcW w:type="dxa" w:w="3408"/>
          </w:tcPr>
          <w:p>
            <w:pPr>
              <w:spacing w:after="0"/>
            </w:pPr>
            <w:r>
              <w:rPr>
                <w:sz w:val="17"/>
              </w:rPr>
              <w:t>Broker reconciliation and exception workflow.</w:t>
            </w:r>
          </w:p>
        </w:tc>
      </w:tr>
      <w:tr>
        <w:tc>
          <w:tcPr>
            <w:tcW w:type="dxa" w:w="3408"/>
          </w:tcPr>
          <w:p>
            <w:pPr>
              <w:spacing w:after="0"/>
            </w:pPr>
            <w:r>
              <w:rPr>
                <w:sz w:val="17"/>
              </w:rPr>
              <w:t>Unexpected strategy behaviour</w:t>
            </w:r>
          </w:p>
        </w:tc>
        <w:tc>
          <w:tcPr>
            <w:tcW w:type="dxa" w:w="3408"/>
          </w:tcPr>
          <w:p>
            <w:pPr>
              <w:spacing w:after="0"/>
            </w:pPr>
            <w:r>
              <w:rPr>
                <w:sz w:val="17"/>
              </w:rPr>
              <w:t>High</w:t>
            </w:r>
          </w:p>
        </w:tc>
        <w:tc>
          <w:tcPr>
            <w:tcW w:type="dxa" w:w="3408"/>
          </w:tcPr>
          <w:p>
            <w:pPr>
              <w:spacing w:after="0"/>
            </w:pPr>
            <w:r>
              <w:rPr>
                <w:sz w:val="17"/>
              </w:rPr>
              <w:t>Backtesting, paper trading and conservative controls.</w:t>
            </w:r>
          </w:p>
        </w:tc>
      </w:tr>
    </w:tbl>
    <w:p>
      <w:pPr>
        <w:pStyle w:val="Heading1"/>
      </w:pPr>
      <w:r>
        <w:t>22. Business Success Metrics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Metric</w:t>
            </w:r>
          </w:p>
        </w:tc>
        <w:tc>
          <w:tcPr>
            <w:tcW w:type="dxa" w:w="5112"/>
            <w:shd w:fill="D9EAF7"/>
          </w:tcPr>
          <w:p>
            <w:r>
              <w:rPr>
                <w:b/>
                <w:sz w:val="17"/>
              </w:rPr>
              <w:t>Success Definition</w:t>
            </w:r>
          </w:p>
        </w:tc>
      </w:tr>
      <w:tr>
        <w:tc>
          <w:tcPr>
            <w:tcW w:type="dxa" w:w="5112"/>
          </w:tcPr>
          <w:p>
            <w:pPr>
              <w:spacing w:after="0"/>
            </w:pPr>
            <w:r>
              <w:rPr>
                <w:sz w:val="17"/>
              </w:rPr>
              <w:t>Requirement Traceability</w:t>
            </w:r>
          </w:p>
        </w:tc>
        <w:tc>
          <w:tcPr>
            <w:tcW w:type="dxa" w:w="5112"/>
          </w:tcPr>
          <w:p>
            <w:pPr>
              <w:spacing w:after="0"/>
            </w:pPr>
            <w:r>
              <w:rPr>
                <w:sz w:val="17"/>
              </w:rPr>
              <w:t>All approved business requirements trace to functional requirements and UAT.</w:t>
            </w:r>
          </w:p>
        </w:tc>
      </w:tr>
      <w:tr>
        <w:tc>
          <w:tcPr>
            <w:tcW w:type="dxa" w:w="5112"/>
          </w:tcPr>
          <w:p>
            <w:pPr>
              <w:spacing w:after="0"/>
            </w:pPr>
            <w:r>
              <w:rPr>
                <w:sz w:val="17"/>
              </w:rPr>
              <w:t>Risk Control Compliance</w:t>
            </w:r>
          </w:p>
        </w:tc>
        <w:tc>
          <w:tcPr>
            <w:tcW w:type="dxa" w:w="5112"/>
          </w:tcPr>
          <w:p>
            <w:pPr>
              <w:spacing w:after="0"/>
            </w:pPr>
            <w:r>
              <w:rPr>
                <w:sz w:val="17"/>
              </w:rPr>
              <w:t>No approved test scenario permits an order to bypass mandatory risk validation.</w:t>
            </w:r>
          </w:p>
        </w:tc>
      </w:tr>
      <w:tr>
        <w:tc>
          <w:tcPr>
            <w:tcW w:type="dxa" w:w="5112"/>
          </w:tcPr>
          <w:p>
            <w:pPr>
              <w:spacing w:after="0"/>
            </w:pPr>
            <w:r>
              <w:rPr>
                <w:sz w:val="17"/>
              </w:rPr>
              <w:t>Order Traceability</w:t>
            </w:r>
          </w:p>
        </w:tc>
        <w:tc>
          <w:tcPr>
            <w:tcW w:type="dxa" w:w="5112"/>
          </w:tcPr>
          <w:p>
            <w:pPr>
              <w:spacing w:after="0"/>
            </w:pPr>
            <w:r>
              <w:rPr>
                <w:sz w:val="17"/>
              </w:rPr>
              <w:t>Each test order can be traced from signal through execution outcome.</w:t>
            </w:r>
          </w:p>
        </w:tc>
      </w:tr>
      <w:tr>
        <w:tc>
          <w:tcPr>
            <w:tcW w:type="dxa" w:w="5112"/>
          </w:tcPr>
          <w:p>
            <w:pPr>
              <w:spacing w:after="0"/>
            </w:pPr>
            <w:r>
              <w:rPr>
                <w:sz w:val="17"/>
              </w:rPr>
              <w:t>Position Accuracy</w:t>
            </w:r>
          </w:p>
        </w:tc>
        <w:tc>
          <w:tcPr>
            <w:tcW w:type="dxa" w:w="5112"/>
          </w:tcPr>
          <w:p>
            <w:pPr>
              <w:spacing w:after="0"/>
            </w:pPr>
            <w:r>
              <w:rPr>
                <w:sz w:val="17"/>
              </w:rPr>
              <w:t>Tested positions reconcile with simulated/broker records.</w:t>
            </w:r>
          </w:p>
        </w:tc>
      </w:tr>
      <w:tr>
        <w:tc>
          <w:tcPr>
            <w:tcW w:type="dxa" w:w="5112"/>
          </w:tcPr>
          <w:p>
            <w:pPr>
              <w:spacing w:after="0"/>
            </w:pPr>
            <w:r>
              <w:rPr>
                <w:sz w:val="17"/>
              </w:rPr>
              <w:t>Backtest Reproducibility</w:t>
            </w:r>
          </w:p>
        </w:tc>
        <w:tc>
          <w:tcPr>
            <w:tcW w:type="dxa" w:w="5112"/>
          </w:tcPr>
          <w:p>
            <w:pPr>
              <w:spacing w:after="0"/>
            </w:pPr>
            <w:r>
              <w:rPr>
                <w:sz w:val="17"/>
              </w:rPr>
              <w:t>Same dataset/configuration produces reproducible results.</w:t>
            </w:r>
          </w:p>
        </w:tc>
      </w:tr>
      <w:tr>
        <w:tc>
          <w:tcPr>
            <w:tcW w:type="dxa" w:w="5112"/>
          </w:tcPr>
          <w:p>
            <w:pPr>
              <w:spacing w:after="0"/>
            </w:pPr>
            <w:r>
              <w:rPr>
                <w:sz w:val="17"/>
              </w:rPr>
              <w:t>UAT Completion</w:t>
            </w:r>
          </w:p>
        </w:tc>
        <w:tc>
          <w:tcPr>
            <w:tcW w:type="dxa" w:w="5112"/>
          </w:tcPr>
          <w:p>
            <w:pPr>
              <w:spacing w:after="0"/>
            </w:pPr>
            <w:r>
              <w:rPr>
                <w:sz w:val="17"/>
              </w:rPr>
              <w:t>All critical UAT scenarios pass or have approved defects.</w:t>
            </w:r>
          </w:p>
        </w:tc>
      </w:tr>
      <w:tr>
        <w:tc>
          <w:tcPr>
            <w:tcW w:type="dxa" w:w="5112"/>
          </w:tcPr>
          <w:p>
            <w:pPr>
              <w:spacing w:after="0"/>
            </w:pPr>
            <w:r>
              <w:rPr>
                <w:sz w:val="17"/>
              </w:rPr>
              <w:t>Operational Visibility</w:t>
            </w:r>
          </w:p>
        </w:tc>
        <w:tc>
          <w:tcPr>
            <w:tcW w:type="dxa" w:w="5112"/>
          </w:tcPr>
          <w:p>
            <w:pPr>
              <w:spacing w:after="0"/>
            </w:pPr>
            <w:r>
              <w:rPr>
                <w:sz w:val="17"/>
              </w:rPr>
              <w:t>Key failures and reconciliation exceptions are visible to operations.</w:t>
            </w:r>
          </w:p>
        </w:tc>
      </w:tr>
    </w:tbl>
    <w:p>
      <w:pPr>
        <w:pStyle w:val="Heading1"/>
      </w:pPr>
      <w:r>
        <w:t>23. Acceptance Criteria for the BRD</w:t>
      </w:r>
    </w:p>
    <w:p>
      <w:pPr>
        <w:pStyle w:val="ListBullet"/>
        <w:spacing w:after="20"/>
      </w:pPr>
      <w:r>
        <w:t>All requirements are reviewed for clarity, completeness and testability.</w:t>
      </w:r>
    </w:p>
    <w:p>
      <w:pPr>
        <w:pStyle w:val="ListBullet"/>
        <w:spacing w:after="20"/>
      </w:pPr>
      <w:r>
        <w:t>Each critical business requirement has measurable acceptance criteria.</w:t>
      </w:r>
    </w:p>
    <w:p>
      <w:pPr>
        <w:pStyle w:val="ListBullet"/>
        <w:spacing w:after="20"/>
      </w:pPr>
      <w:r>
        <w:t>Strategy and risk rules are documented and version controlled.</w:t>
      </w:r>
    </w:p>
    <w:p>
      <w:pPr>
        <w:pStyle w:val="ListBullet"/>
        <w:spacing w:after="20"/>
      </w:pPr>
      <w:r>
        <w:t>Exception scenarios are explicitly covered.</w:t>
      </w:r>
    </w:p>
    <w:p>
      <w:pPr>
        <w:pStyle w:val="ListBullet"/>
        <w:spacing w:after="20"/>
      </w:pPr>
      <w:r>
        <w:t>Business, risk and technical stakeholders agree on the baseline before development begins.</w:t>
      </w:r>
    </w:p>
    <w:p>
      <w:pPr>
        <w:pStyle w:val="Heading1"/>
      </w:pPr>
      <w:r>
        <w:t>24. Requirements Traceability Approach</w:t>
      </w:r>
    </w:p>
    <w:p>
      <w:r>
        <w:t>Each approved business requirement will map to one or more FRD requirements, user stories, acceptance criteria and UAT test cases.</w:t>
      </w:r>
    </w:p>
    <w:p>
      <w:pPr>
        <w:jc w:val="center"/>
      </w:pPr>
      <w:r>
        <w:rPr>
          <w:b/>
        </w:rPr>
        <w:t>BRD Requirement → FRD Requirement → User Story → Acceptance Criteria → Test Case → UAT Result</w:t>
      </w:r>
    </w:p>
    <w:p>
      <w:pPr>
        <w:pStyle w:val="Heading1"/>
      </w:pPr>
      <w:r>
        <w:t>25. BRD-to-FRD Requirement Groups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Requirement Group</w:t>
            </w:r>
          </w:p>
        </w:tc>
        <w:tc>
          <w:tcPr>
            <w:tcW w:type="dxa" w:w="5112"/>
            <w:shd w:fill="D9EAF7"/>
          </w:tcPr>
          <w:p>
            <w:r>
              <w:rPr>
                <w:b/>
                <w:sz w:val="17"/>
              </w:rPr>
              <w:t>FRD Module</w:t>
            </w:r>
          </w:p>
        </w:tc>
      </w:tr>
      <w:tr>
        <w:tc>
          <w:tcPr>
            <w:tcW w:type="dxa" w:w="5112"/>
          </w:tcPr>
          <w:p>
            <w:pPr>
              <w:spacing w:after="0"/>
            </w:pPr>
            <w:r>
              <w:rPr>
                <w:sz w:val="17"/>
              </w:rPr>
              <w:t>Market Data</w:t>
            </w:r>
          </w:p>
        </w:tc>
        <w:tc>
          <w:tcPr>
            <w:tcW w:type="dxa" w:w="5112"/>
          </w:tcPr>
          <w:p>
            <w:pPr>
              <w:spacing w:after="0"/>
            </w:pPr>
            <w:r>
              <w:rPr>
                <w:sz w:val="17"/>
              </w:rPr>
              <w:t>Market Data Management</w:t>
            </w:r>
          </w:p>
        </w:tc>
      </w:tr>
      <w:tr>
        <w:tc>
          <w:tcPr>
            <w:tcW w:type="dxa" w:w="5112"/>
          </w:tcPr>
          <w:p>
            <w:pPr>
              <w:spacing w:after="0"/>
            </w:pPr>
            <w:r>
              <w:rPr>
                <w:sz w:val="17"/>
              </w:rPr>
              <w:t>Strategy</w:t>
            </w:r>
          </w:p>
        </w:tc>
        <w:tc>
          <w:tcPr>
            <w:tcW w:type="dxa" w:w="5112"/>
          </w:tcPr>
          <w:p>
            <w:pPr>
              <w:spacing w:after="0"/>
            </w:pPr>
            <w:r>
              <w:rPr>
                <w:sz w:val="17"/>
              </w:rPr>
              <w:t>Strategy / Indicator Engine</w:t>
            </w:r>
          </w:p>
        </w:tc>
      </w:tr>
      <w:tr>
        <w:tc>
          <w:tcPr>
            <w:tcW w:type="dxa" w:w="5112"/>
          </w:tcPr>
          <w:p>
            <w:pPr>
              <w:spacing w:after="0"/>
            </w:pPr>
            <w:r>
              <w:rPr>
                <w:sz w:val="17"/>
              </w:rPr>
              <w:t>Signal</w:t>
            </w:r>
          </w:p>
        </w:tc>
        <w:tc>
          <w:tcPr>
            <w:tcW w:type="dxa" w:w="5112"/>
          </w:tcPr>
          <w:p>
            <w:pPr>
              <w:spacing w:after="0"/>
            </w:pPr>
            <w:r>
              <w:rPr>
                <w:sz w:val="17"/>
              </w:rPr>
              <w:t>Signal Management</w:t>
            </w:r>
          </w:p>
        </w:tc>
      </w:tr>
      <w:tr>
        <w:tc>
          <w:tcPr>
            <w:tcW w:type="dxa" w:w="5112"/>
          </w:tcPr>
          <w:p>
            <w:pPr>
              <w:spacing w:after="0"/>
            </w:pPr>
            <w:r>
              <w:rPr>
                <w:sz w:val="17"/>
              </w:rPr>
              <w:t>Risk</w:t>
            </w:r>
          </w:p>
        </w:tc>
        <w:tc>
          <w:tcPr>
            <w:tcW w:type="dxa" w:w="5112"/>
          </w:tcPr>
          <w:p>
            <w:pPr>
              <w:spacing w:after="0"/>
            </w:pPr>
            <w:r>
              <w:rPr>
                <w:sz w:val="17"/>
              </w:rPr>
              <w:t>Risk Management</w:t>
            </w:r>
          </w:p>
        </w:tc>
      </w:tr>
      <w:tr>
        <w:tc>
          <w:tcPr>
            <w:tcW w:type="dxa" w:w="5112"/>
          </w:tcPr>
          <w:p>
            <w:pPr>
              <w:spacing w:after="0"/>
            </w:pPr>
            <w:r>
              <w:rPr>
                <w:sz w:val="17"/>
              </w:rPr>
              <w:t>Order</w:t>
            </w:r>
          </w:p>
        </w:tc>
        <w:tc>
          <w:tcPr>
            <w:tcW w:type="dxa" w:w="5112"/>
          </w:tcPr>
          <w:p>
            <w:pPr>
              <w:spacing w:after="0"/>
            </w:pPr>
            <w:r>
              <w:rPr>
                <w:sz w:val="17"/>
              </w:rPr>
              <w:t>Order Management</w:t>
            </w:r>
          </w:p>
        </w:tc>
      </w:tr>
      <w:tr>
        <w:tc>
          <w:tcPr>
            <w:tcW w:type="dxa" w:w="5112"/>
          </w:tcPr>
          <w:p>
            <w:pPr>
              <w:spacing w:after="0"/>
            </w:pPr>
            <w:r>
              <w:rPr>
                <w:sz w:val="17"/>
              </w:rPr>
              <w:t>Execution</w:t>
            </w:r>
          </w:p>
        </w:tc>
        <w:tc>
          <w:tcPr>
            <w:tcW w:type="dxa" w:w="5112"/>
          </w:tcPr>
          <w:p>
            <w:pPr>
              <w:spacing w:after="0"/>
            </w:pPr>
            <w:r>
              <w:rPr>
                <w:sz w:val="17"/>
              </w:rPr>
              <w:t>Broker Integration</w:t>
            </w:r>
          </w:p>
        </w:tc>
      </w:tr>
      <w:tr>
        <w:tc>
          <w:tcPr>
            <w:tcW w:type="dxa" w:w="5112"/>
          </w:tcPr>
          <w:p>
            <w:pPr>
              <w:spacing w:after="0"/>
            </w:pPr>
            <w:r>
              <w:rPr>
                <w:sz w:val="17"/>
              </w:rPr>
              <w:t>Position</w:t>
            </w:r>
          </w:p>
        </w:tc>
        <w:tc>
          <w:tcPr>
            <w:tcW w:type="dxa" w:w="5112"/>
          </w:tcPr>
          <w:p>
            <w:pPr>
              <w:spacing w:after="0"/>
            </w:pPr>
            <w:r>
              <w:rPr>
                <w:sz w:val="17"/>
              </w:rPr>
              <w:t>Position Management</w:t>
            </w:r>
          </w:p>
        </w:tc>
      </w:tr>
      <w:tr>
        <w:tc>
          <w:tcPr>
            <w:tcW w:type="dxa" w:w="5112"/>
          </w:tcPr>
          <w:p>
            <w:pPr>
              <w:spacing w:after="0"/>
            </w:pPr>
            <w:r>
              <w:rPr>
                <w:sz w:val="17"/>
              </w:rPr>
              <w:t>P&amp;L</w:t>
            </w:r>
          </w:p>
        </w:tc>
        <w:tc>
          <w:tcPr>
            <w:tcW w:type="dxa" w:w="5112"/>
          </w:tcPr>
          <w:p>
            <w:pPr>
              <w:spacing w:after="0"/>
            </w:pPr>
            <w:r>
              <w:rPr>
                <w:sz w:val="17"/>
              </w:rPr>
              <w:t>P&amp;L / Reporting</w:t>
            </w:r>
          </w:p>
        </w:tc>
      </w:tr>
      <w:tr>
        <w:tc>
          <w:tcPr>
            <w:tcW w:type="dxa" w:w="5112"/>
          </w:tcPr>
          <w:p>
            <w:pPr>
              <w:spacing w:after="0"/>
            </w:pPr>
            <w:r>
              <w:rPr>
                <w:sz w:val="17"/>
              </w:rPr>
              <w:t>Backtesting</w:t>
            </w:r>
          </w:p>
        </w:tc>
        <w:tc>
          <w:tcPr>
            <w:tcW w:type="dxa" w:w="5112"/>
          </w:tcPr>
          <w:p>
            <w:pPr>
              <w:spacing w:after="0"/>
            </w:pPr>
            <w:r>
              <w:rPr>
                <w:sz w:val="17"/>
              </w:rPr>
              <w:t>Backtesting Engine</w:t>
            </w:r>
          </w:p>
        </w:tc>
      </w:tr>
      <w:tr>
        <w:tc>
          <w:tcPr>
            <w:tcW w:type="dxa" w:w="5112"/>
          </w:tcPr>
          <w:p>
            <w:pPr>
              <w:spacing w:after="0"/>
            </w:pPr>
            <w:r>
              <w:rPr>
                <w:sz w:val="17"/>
              </w:rPr>
              <w:t>Audit</w:t>
            </w:r>
          </w:p>
        </w:tc>
        <w:tc>
          <w:tcPr>
            <w:tcW w:type="dxa" w:w="5112"/>
          </w:tcPr>
          <w:p>
            <w:pPr>
              <w:spacing w:after="0"/>
            </w:pPr>
            <w:r>
              <w:rPr>
                <w:sz w:val="17"/>
              </w:rPr>
              <w:t>Audit &amp; Logging</w:t>
            </w:r>
          </w:p>
        </w:tc>
      </w:tr>
      <w:tr>
        <w:tc>
          <w:tcPr>
            <w:tcW w:type="dxa" w:w="5112"/>
          </w:tcPr>
          <w:p>
            <w:pPr>
              <w:spacing w:after="0"/>
            </w:pPr>
            <w:r>
              <w:rPr>
                <w:sz w:val="17"/>
              </w:rPr>
              <w:t>Reconciliation</w:t>
            </w:r>
          </w:p>
        </w:tc>
        <w:tc>
          <w:tcPr>
            <w:tcW w:type="dxa" w:w="5112"/>
          </w:tcPr>
          <w:p>
            <w:pPr>
              <w:spacing w:after="0"/>
            </w:pPr>
            <w:r>
              <w:rPr>
                <w:sz w:val="17"/>
              </w:rPr>
              <w:t>Reconciliation Module</w:t>
            </w:r>
          </w:p>
        </w:tc>
      </w:tr>
      <w:tr>
        <w:tc>
          <w:tcPr>
            <w:tcW w:type="dxa" w:w="5112"/>
          </w:tcPr>
          <w:p>
            <w:pPr>
              <w:spacing w:after="0"/>
            </w:pPr>
            <w:r>
              <w:rPr>
                <w:sz w:val="17"/>
              </w:rPr>
              <w:t>Dashboard</w:t>
            </w:r>
          </w:p>
        </w:tc>
        <w:tc>
          <w:tcPr>
            <w:tcW w:type="dxa" w:w="5112"/>
          </w:tcPr>
          <w:p>
            <w:pPr>
              <w:spacing w:after="0"/>
            </w:pPr>
            <w:r>
              <w:rPr>
                <w:sz w:val="17"/>
              </w:rPr>
              <w:t>Reporting &amp; Dashboard</w:t>
            </w:r>
          </w:p>
        </w:tc>
      </w:tr>
    </w:tbl>
    <w:p>
      <w:pPr>
        <w:pStyle w:val="Heading1"/>
      </w:pPr>
      <w:r>
        <w:t>26. Change Management</w:t>
      </w:r>
    </w:p>
    <w:p>
      <w:r>
        <w:t>After BRD approval, changes to strategy conditions, risk thresholds, scope, instrument, integration or critical business behaviour will be assessed for impact on requirements, design, development, testing and release. Approved changes will be versioned and reflected in the RTM.</w:t>
      </w:r>
    </w:p>
    <w:p>
      <w:pPr>
        <w:pStyle w:val="Heading1"/>
      </w:pPr>
      <w:r>
        <w:t>27. Approval / Sign-off</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Role</w:t>
            </w:r>
          </w:p>
        </w:tc>
        <w:tc>
          <w:tcPr>
            <w:tcW w:type="dxa" w:w="3408"/>
            <w:shd w:fill="D9EAF7"/>
          </w:tcPr>
          <w:p>
            <w:r>
              <w:rPr>
                <w:b/>
                <w:sz w:val="17"/>
              </w:rPr>
              <w:t>Approval Responsibility</w:t>
            </w:r>
          </w:p>
        </w:tc>
        <w:tc>
          <w:tcPr>
            <w:tcW w:type="dxa" w:w="3408"/>
            <w:shd w:fill="D9EAF7"/>
          </w:tcPr>
          <w:p>
            <w:r>
              <w:rPr>
                <w:b/>
                <w:sz w:val="17"/>
              </w:rPr>
              <w:t>Status</w:t>
            </w:r>
          </w:p>
        </w:tc>
      </w:tr>
      <w:tr>
        <w:tc>
          <w:tcPr>
            <w:tcW w:type="dxa" w:w="3408"/>
          </w:tcPr>
          <w:p>
            <w:pPr>
              <w:spacing w:after="0"/>
            </w:pPr>
            <w:r>
              <w:rPr>
                <w:sz w:val="17"/>
              </w:rPr>
              <w:t>Business Owner / Trader</w:t>
            </w:r>
          </w:p>
        </w:tc>
        <w:tc>
          <w:tcPr>
            <w:tcW w:type="dxa" w:w="3408"/>
          </w:tcPr>
          <w:p>
            <w:pPr>
              <w:spacing w:after="0"/>
            </w:pPr>
            <w:r>
              <w:rPr>
                <w:sz w:val="17"/>
              </w:rPr>
              <w:t>Approve objectives, scope and trading requirements.</w:t>
            </w:r>
          </w:p>
        </w:tc>
        <w:tc>
          <w:tcPr>
            <w:tcW w:type="dxa" w:w="3408"/>
          </w:tcPr>
          <w:p>
            <w:pPr>
              <w:spacing w:after="0"/>
            </w:pPr>
            <w:r>
              <w:rPr>
                <w:sz w:val="17"/>
              </w:rPr>
              <w:t>Pending</w:t>
            </w:r>
          </w:p>
        </w:tc>
      </w:tr>
      <w:tr>
        <w:tc>
          <w:tcPr>
            <w:tcW w:type="dxa" w:w="3408"/>
          </w:tcPr>
          <w:p>
            <w:pPr>
              <w:spacing w:after="0"/>
            </w:pPr>
            <w:r>
              <w:rPr>
                <w:sz w:val="17"/>
              </w:rPr>
              <w:t>Risk Owner</w:t>
            </w:r>
          </w:p>
        </w:tc>
        <w:tc>
          <w:tcPr>
            <w:tcW w:type="dxa" w:w="3408"/>
          </w:tcPr>
          <w:p>
            <w:pPr>
              <w:spacing w:after="0"/>
            </w:pPr>
            <w:r>
              <w:rPr>
                <w:sz w:val="17"/>
              </w:rPr>
              <w:t>Approve risk-control requirements.</w:t>
            </w:r>
          </w:p>
        </w:tc>
        <w:tc>
          <w:tcPr>
            <w:tcW w:type="dxa" w:w="3408"/>
          </w:tcPr>
          <w:p>
            <w:pPr>
              <w:spacing w:after="0"/>
            </w:pPr>
            <w:r>
              <w:rPr>
                <w:sz w:val="17"/>
              </w:rPr>
              <w:t>Pending</w:t>
            </w:r>
          </w:p>
        </w:tc>
      </w:tr>
      <w:tr>
        <w:tc>
          <w:tcPr>
            <w:tcW w:type="dxa" w:w="3408"/>
          </w:tcPr>
          <w:p>
            <w:pPr>
              <w:spacing w:after="0"/>
            </w:pPr>
            <w:r>
              <w:rPr>
                <w:sz w:val="17"/>
              </w:rPr>
              <w:t>Business Analyst</w:t>
            </w:r>
          </w:p>
        </w:tc>
        <w:tc>
          <w:tcPr>
            <w:tcW w:type="dxa" w:w="3408"/>
          </w:tcPr>
          <w:p>
            <w:pPr>
              <w:spacing w:after="0"/>
            </w:pPr>
            <w:r>
              <w:rPr>
                <w:sz w:val="17"/>
              </w:rPr>
              <w:t>Confirm BRD completeness and traceability.</w:t>
            </w:r>
          </w:p>
        </w:tc>
        <w:tc>
          <w:tcPr>
            <w:tcW w:type="dxa" w:w="3408"/>
          </w:tcPr>
          <w:p>
            <w:pPr>
              <w:spacing w:after="0"/>
            </w:pPr>
            <w:r>
              <w:rPr>
                <w:sz w:val="17"/>
              </w:rPr>
              <w:t>Pending</w:t>
            </w:r>
          </w:p>
        </w:tc>
      </w:tr>
      <w:tr>
        <w:tc>
          <w:tcPr>
            <w:tcW w:type="dxa" w:w="3408"/>
          </w:tcPr>
          <w:p>
            <w:pPr>
              <w:spacing w:after="0"/>
            </w:pPr>
            <w:r>
              <w:rPr>
                <w:sz w:val="17"/>
              </w:rPr>
              <w:t>Technical Lead / Developer</w:t>
            </w:r>
          </w:p>
        </w:tc>
        <w:tc>
          <w:tcPr>
            <w:tcW w:type="dxa" w:w="3408"/>
          </w:tcPr>
          <w:p>
            <w:pPr>
              <w:spacing w:after="0"/>
            </w:pPr>
            <w:r>
              <w:rPr>
                <w:sz w:val="17"/>
              </w:rPr>
              <w:t>Confirm feasibility and technical dependencies.</w:t>
            </w:r>
          </w:p>
        </w:tc>
        <w:tc>
          <w:tcPr>
            <w:tcW w:type="dxa" w:w="3408"/>
          </w:tcPr>
          <w:p>
            <w:pPr>
              <w:spacing w:after="0"/>
            </w:pPr>
            <w:r>
              <w:rPr>
                <w:sz w:val="17"/>
              </w:rPr>
              <w:t>Pending</w:t>
            </w:r>
          </w:p>
        </w:tc>
      </w:tr>
      <w:tr>
        <w:tc>
          <w:tcPr>
            <w:tcW w:type="dxa" w:w="3408"/>
          </w:tcPr>
          <w:p>
            <w:pPr>
              <w:spacing w:after="0"/>
            </w:pPr>
            <w:r>
              <w:rPr>
                <w:sz w:val="17"/>
              </w:rPr>
              <w:t>QA / Test Lead</w:t>
            </w:r>
          </w:p>
        </w:tc>
        <w:tc>
          <w:tcPr>
            <w:tcW w:type="dxa" w:w="3408"/>
          </w:tcPr>
          <w:p>
            <w:pPr>
              <w:spacing w:after="0"/>
            </w:pPr>
            <w:r>
              <w:rPr>
                <w:sz w:val="17"/>
              </w:rPr>
              <w:t>Confirm requirements are testable.</w:t>
            </w:r>
          </w:p>
        </w:tc>
        <w:tc>
          <w:tcPr>
            <w:tcW w:type="dxa" w:w="3408"/>
          </w:tcPr>
          <w:p>
            <w:pPr>
              <w:spacing w:after="0"/>
            </w:pPr>
            <w:r>
              <w:rPr>
                <w:sz w:val="17"/>
              </w:rPr>
              <w:t>Pending</w:t>
            </w:r>
          </w:p>
        </w:tc>
      </w:tr>
    </w:tbl>
    <w:p>
      <w:pPr>
        <w:pStyle w:val="Heading1"/>
      </w:pPr>
      <w:r>
        <w:t>28. Document Control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Version</w:t>
            </w:r>
          </w:p>
        </w:tc>
        <w:tc>
          <w:tcPr>
            <w:tcW w:type="dxa" w:w="2556"/>
            <w:shd w:fill="D9EAF7"/>
          </w:tcPr>
          <w:p>
            <w:r>
              <w:rPr>
                <w:b/>
                <w:sz w:val="17"/>
              </w:rPr>
              <w:t>Date</w:t>
            </w:r>
          </w:p>
        </w:tc>
        <w:tc>
          <w:tcPr>
            <w:tcW w:type="dxa" w:w="2556"/>
            <w:shd w:fill="D9EAF7"/>
          </w:tcPr>
          <w:p>
            <w:r>
              <w:rPr>
                <w:b/>
                <w:sz w:val="17"/>
              </w:rPr>
              <w:t>Author</w:t>
            </w:r>
          </w:p>
        </w:tc>
        <w:tc>
          <w:tcPr>
            <w:tcW w:type="dxa" w:w="2556"/>
            <w:shd w:fill="D9EAF7"/>
          </w:tcPr>
          <w:p>
            <w:r>
              <w:rPr>
                <w:b/>
                <w:sz w:val="17"/>
              </w:rPr>
              <w:t>Change Description</w:t>
            </w:r>
          </w:p>
        </w:tc>
      </w:tr>
      <w:tr>
        <w:tc>
          <w:tcPr>
            <w:tcW w:type="dxa" w:w="2556"/>
          </w:tcPr>
          <w:p>
            <w:pPr>
              <w:spacing w:after="0"/>
            </w:pPr>
            <w:r>
              <w:rPr>
                <w:sz w:val="17"/>
              </w:rPr>
              <w:t>1.0</w:t>
            </w:r>
          </w:p>
        </w:tc>
        <w:tc>
          <w:tcPr>
            <w:tcW w:type="dxa" w:w="2556"/>
          </w:tcPr>
          <w:p>
            <w:pPr>
              <w:spacing w:after="0"/>
            </w:pPr>
            <w:r>
              <w:rPr>
                <w:sz w:val="17"/>
              </w:rPr>
              <w:t>09-Aug-2026</w:t>
            </w:r>
          </w:p>
        </w:tc>
        <w:tc>
          <w:tcPr>
            <w:tcW w:type="dxa" w:w="2556"/>
          </w:tcPr>
          <w:p>
            <w:pPr>
              <w:spacing w:after="0"/>
            </w:pPr>
            <w:r>
              <w:rPr>
                <w:sz w:val="17"/>
              </w:rPr>
              <w:t>Business Analyst</w:t>
            </w:r>
          </w:p>
        </w:tc>
        <w:tc>
          <w:tcPr>
            <w:tcW w:type="dxa" w:w="2556"/>
          </w:tcPr>
          <w:p>
            <w:pPr>
              <w:spacing w:after="0"/>
            </w:pPr>
            <w:r>
              <w:rPr>
                <w:sz w:val="17"/>
              </w:rPr>
              <w:t>Initial BRD created from Project Charter v1.0.</w:t>
            </w:r>
          </w:p>
        </w:tc>
      </w:tr>
    </w:tbl>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ATOMS-BRD-001 | Business Requirements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