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CHARTER</w:t>
      </w:r>
    </w:p>
    <w:p>
      <w:pPr>
        <w:jc w:val="center"/>
      </w:pPr>
      <w:r>
        <w:rPr>
          <w:b/>
          <w:sz w:val="32"/>
        </w:rPr>
        <w:t>Algorithmic Trading &amp; Automated Order Management System</w:t>
      </w:r>
    </w:p>
    <w:p>
      <w:pPr>
        <w:jc w:val="center"/>
      </w:pPr>
      <w:r>
        <w:rPr>
          <w:i/>
        </w:rPr>
        <w:t>Capital Markets | Intraday Equity Trading | Business Analyst-led Project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Document Attribute</w:t>
            </w:r>
          </w:p>
        </w:tc>
        <w:tc>
          <w:tcPr>
            <w:tcW w:type="dxa" w:w="5040"/>
            <w:vAlign w:val="center"/>
            <w:shd w:fill="D9EAF7"/>
          </w:tcPr>
          <w:p>
            <w:pPr>
              <w:spacing w:after="0"/>
            </w:pPr>
            <w:r>
              <w:rPr>
                <w:b/>
                <w:sz w:val="18"/>
              </w:rPr>
              <w:t>Value</w:t>
            </w:r>
          </w:p>
        </w:tc>
      </w:tr>
      <w:tr>
        <w:tc>
          <w:tcPr>
            <w:tcW w:type="dxa" w:w="5040"/>
            <w:vAlign w:val="center"/>
          </w:tcPr>
          <w:p>
            <w:pPr>
              <w:spacing w:after="0"/>
            </w:pPr>
            <w:r>
              <w:rPr>
                <w:b w:val="0"/>
                <w:sz w:val="18"/>
              </w:rPr>
              <w:t>Document ID</w:t>
            </w:r>
          </w:p>
        </w:tc>
        <w:tc>
          <w:tcPr>
            <w:tcW w:type="dxa" w:w="5040"/>
            <w:vAlign w:val="center"/>
          </w:tcPr>
          <w:p>
            <w:pPr>
              <w:spacing w:after="0"/>
            </w:pPr>
            <w:r>
              <w:rPr>
                <w:b w:val="0"/>
                <w:sz w:val="18"/>
              </w:rPr>
              <w:t>ATOMS-PC-001</w:t>
            </w:r>
          </w:p>
        </w:tc>
      </w:tr>
      <w:tr>
        <w:tc>
          <w:tcPr>
            <w:tcW w:type="dxa" w:w="5040"/>
            <w:vAlign w:val="center"/>
          </w:tcPr>
          <w:p>
            <w:pPr>
              <w:spacing w:after="0"/>
            </w:pPr>
            <w:r>
              <w:rPr>
                <w:b w:val="0"/>
                <w:sz w:val="18"/>
              </w:rPr>
              <w:t>Version</w:t>
            </w:r>
          </w:p>
        </w:tc>
        <w:tc>
          <w:tcPr>
            <w:tcW w:type="dxa" w:w="5040"/>
            <w:vAlign w:val="center"/>
          </w:tcPr>
          <w:p>
            <w:pPr>
              <w:spacing w:after="0"/>
            </w:pPr>
            <w:r>
              <w:rPr>
                <w:b w:val="0"/>
                <w:sz w:val="18"/>
              </w:rPr>
              <w:t>1.0</w:t>
            </w:r>
          </w:p>
        </w:tc>
      </w:tr>
      <w:tr>
        <w:tc>
          <w:tcPr>
            <w:tcW w:type="dxa" w:w="5040"/>
            <w:vAlign w:val="center"/>
          </w:tcPr>
          <w:p>
            <w:pPr>
              <w:spacing w:after="0"/>
            </w:pPr>
            <w:r>
              <w:rPr>
                <w:b w:val="0"/>
                <w:sz w:val="18"/>
              </w:rPr>
              <w:t>Document Status</w:t>
            </w:r>
          </w:p>
        </w:tc>
        <w:tc>
          <w:tcPr>
            <w:tcW w:type="dxa" w:w="5040"/>
            <w:vAlign w:val="center"/>
          </w:tcPr>
          <w:p>
            <w:pPr>
              <w:spacing w:after="0"/>
            </w:pPr>
            <w:r>
              <w:rPr>
                <w:b w:val="0"/>
                <w:sz w:val="18"/>
              </w:rPr>
              <w:t>Draft for Business Approval</w:t>
            </w:r>
          </w:p>
        </w:tc>
      </w:tr>
      <w:tr>
        <w:tc>
          <w:tcPr>
            <w:tcW w:type="dxa" w:w="5040"/>
            <w:vAlign w:val="center"/>
          </w:tcPr>
          <w:p>
            <w:pPr>
              <w:spacing w:after="0"/>
            </w:pPr>
            <w:r>
              <w:rPr>
                <w:b w:val="0"/>
                <w:sz w:val="18"/>
              </w:rPr>
              <w:t>Prepared By</w:t>
            </w:r>
          </w:p>
        </w:tc>
        <w:tc>
          <w:tcPr>
            <w:tcW w:type="dxa" w:w="5040"/>
            <w:vAlign w:val="center"/>
          </w:tcPr>
          <w:p>
            <w:pPr>
              <w:spacing w:after="0"/>
            </w:pPr>
            <w:r>
              <w:rPr>
                <w:b w:val="0"/>
                <w:sz w:val="18"/>
              </w:rPr>
              <w:t>Business Analyst</w:t>
            </w:r>
          </w:p>
        </w:tc>
      </w:tr>
      <w:tr>
        <w:tc>
          <w:tcPr>
            <w:tcW w:type="dxa" w:w="5040"/>
            <w:vAlign w:val="center"/>
          </w:tcPr>
          <w:p>
            <w:pPr>
              <w:spacing w:after="0"/>
            </w:pPr>
            <w:r>
              <w:rPr>
                <w:b w:val="0"/>
                <w:sz w:val="18"/>
              </w:rPr>
              <w:t>Project Type</w:t>
            </w:r>
          </w:p>
        </w:tc>
        <w:tc>
          <w:tcPr>
            <w:tcW w:type="dxa" w:w="5040"/>
            <w:vAlign w:val="center"/>
          </w:tcPr>
          <w:p>
            <w:pPr>
              <w:spacing w:after="0"/>
            </w:pPr>
            <w:r>
              <w:rPr>
                <w:b w:val="0"/>
                <w:sz w:val="18"/>
              </w:rPr>
              <w:t>Algorithmic Trading / Trading Automation</w:t>
            </w:r>
          </w:p>
        </w:tc>
      </w:tr>
      <w:tr>
        <w:tc>
          <w:tcPr>
            <w:tcW w:type="dxa" w:w="5040"/>
            <w:vAlign w:val="center"/>
          </w:tcPr>
          <w:p>
            <w:pPr>
              <w:spacing w:after="0"/>
            </w:pPr>
            <w:r>
              <w:rPr>
                <w:b w:val="0"/>
                <w:sz w:val="18"/>
              </w:rPr>
              <w:t>Business Domain</w:t>
            </w:r>
          </w:p>
        </w:tc>
        <w:tc>
          <w:tcPr>
            <w:tcW w:type="dxa" w:w="5040"/>
            <w:vAlign w:val="center"/>
          </w:tcPr>
          <w:p>
            <w:pPr>
              <w:spacing w:after="0"/>
            </w:pPr>
            <w:r>
              <w:rPr>
                <w:b w:val="0"/>
                <w:sz w:val="18"/>
              </w:rPr>
              <w:t>Capital Markets / Equity Trading</w:t>
            </w:r>
          </w:p>
        </w:tc>
      </w:tr>
      <w:tr>
        <w:tc>
          <w:tcPr>
            <w:tcW w:type="dxa" w:w="5040"/>
            <w:vAlign w:val="center"/>
          </w:tcPr>
          <w:p>
            <w:pPr>
              <w:spacing w:after="0"/>
            </w:pPr>
            <w:r>
              <w:rPr>
                <w:b w:val="0"/>
                <w:sz w:val="18"/>
              </w:rPr>
              <w:t>Target Market</w:t>
            </w:r>
          </w:p>
        </w:tc>
        <w:tc>
          <w:tcPr>
            <w:tcW w:type="dxa" w:w="5040"/>
            <w:vAlign w:val="center"/>
          </w:tcPr>
          <w:p>
            <w:pPr>
              <w:spacing w:after="0"/>
            </w:pPr>
            <w:r>
              <w:rPr>
                <w:b w:val="0"/>
                <w:sz w:val="18"/>
              </w:rPr>
              <w:t>NSE – NIFTY (V1)</w:t>
            </w:r>
          </w:p>
        </w:tc>
      </w:tr>
      <w:tr>
        <w:tc>
          <w:tcPr>
            <w:tcW w:type="dxa" w:w="5040"/>
            <w:vAlign w:val="center"/>
          </w:tcPr>
          <w:p>
            <w:pPr>
              <w:spacing w:after="0"/>
            </w:pPr>
            <w:r>
              <w:rPr>
                <w:b w:val="0"/>
                <w:sz w:val="18"/>
              </w:rPr>
              <w:t>Trading Style</w:t>
            </w:r>
          </w:p>
        </w:tc>
        <w:tc>
          <w:tcPr>
            <w:tcW w:type="dxa" w:w="5040"/>
            <w:vAlign w:val="center"/>
          </w:tcPr>
          <w:p>
            <w:pPr>
              <w:spacing w:after="0"/>
            </w:pPr>
            <w:r>
              <w:rPr>
                <w:b w:val="0"/>
                <w:sz w:val="18"/>
              </w:rPr>
              <w:t>Intraday</w:t>
            </w:r>
          </w:p>
        </w:tc>
      </w:tr>
      <w:tr>
        <w:tc>
          <w:tcPr>
            <w:tcW w:type="dxa" w:w="5040"/>
            <w:vAlign w:val="center"/>
          </w:tcPr>
          <w:p>
            <w:pPr>
              <w:spacing w:after="0"/>
            </w:pPr>
            <w:r>
              <w:rPr>
                <w:b w:val="0"/>
                <w:sz w:val="18"/>
              </w:rPr>
              <w:t>Primary Users</w:t>
            </w:r>
          </w:p>
        </w:tc>
        <w:tc>
          <w:tcPr>
            <w:tcW w:type="dxa" w:w="5040"/>
            <w:vAlign w:val="center"/>
          </w:tcPr>
          <w:p>
            <w:pPr>
              <w:spacing w:after="0"/>
            </w:pPr>
            <w:r>
              <w:rPr>
                <w:b w:val="0"/>
                <w:sz w:val="18"/>
              </w:rPr>
              <w:t>Trader / Trading Operations / Risk User</w:t>
            </w:r>
          </w:p>
        </w:tc>
      </w:tr>
      <w:tr>
        <w:tc>
          <w:tcPr>
            <w:tcW w:type="dxa" w:w="5040"/>
            <w:vAlign w:val="center"/>
          </w:tcPr>
          <w:p>
            <w:pPr>
              <w:spacing w:after="0"/>
            </w:pPr>
            <w:r>
              <w:rPr>
                <w:b w:val="0"/>
                <w:sz w:val="18"/>
              </w:rPr>
              <w:t>Planned Delivery Model</w:t>
            </w:r>
          </w:p>
        </w:tc>
        <w:tc>
          <w:tcPr>
            <w:tcW w:type="dxa" w:w="5040"/>
            <w:vAlign w:val="center"/>
          </w:tcPr>
          <w:p>
            <w:pPr>
              <w:spacing w:after="0"/>
            </w:pPr>
            <w:r>
              <w:rPr>
                <w:b w:val="0"/>
                <w:sz w:val="18"/>
              </w:rPr>
              <w:t>Agile</w:t>
            </w:r>
          </w:p>
        </w:tc>
      </w:tr>
      <w:tr>
        <w:tc>
          <w:tcPr>
            <w:tcW w:type="dxa" w:w="5040"/>
            <w:vAlign w:val="center"/>
          </w:tcPr>
          <w:p>
            <w:pPr>
              <w:spacing w:after="0"/>
            </w:pPr>
            <w:r>
              <w:rPr>
                <w:b w:val="0"/>
                <w:sz w:val="18"/>
              </w:rPr>
              <w:t>Priority</w:t>
            </w:r>
          </w:p>
        </w:tc>
        <w:tc>
          <w:tcPr>
            <w:tcW w:type="dxa" w:w="5040"/>
            <w:vAlign w:val="center"/>
          </w:tcPr>
          <w:p>
            <w:pPr>
              <w:spacing w:after="0"/>
            </w:pPr>
            <w:r>
              <w:rPr>
                <w:b w:val="0"/>
                <w:sz w:val="18"/>
              </w:rPr>
              <w:t>High</w:t>
            </w:r>
          </w:p>
        </w:tc>
      </w:tr>
    </w:tbl>
    <w:p>
      <w:pPr>
        <w:pStyle w:val="Heading1"/>
      </w:pPr>
      <w:r>
        <w:t>1. Executive Summary</w:t>
      </w:r>
    </w:p>
    <w:p>
      <w:r>
        <w:t>The Algorithmic Trading &amp; Automated Order Management System (ATOMS) is a proposed trading automation platform for intraday equity trading. The system will consume validated market data, evaluate predefined trading strategy rules, generate BUY/SELL signals, apply risk controls, manage order submission and lifecycle through a broker API, track positions and P&amp;L, and provide operational and performance reporting.</w:t>
      </w:r>
    </w:p>
    <w:p>
      <w:r>
        <w:t>The project is intentionally designed as a controlled V1. The primary objective is not to guarantee profitability, but to establish a repeatable, auditable and testable trading workflow in which strategy decisions, risk decisions, orders, executions and positions can be traced end-to-end.</w:t>
      </w:r>
    </w:p>
    <w:p>
      <w:pPr>
        <w:pStyle w:val="Heading1"/>
      </w:pPr>
      <w:r>
        <w:t>2. Business Problem / Opportunity</w:t>
      </w:r>
    </w:p>
    <w:p>
      <w:r>
        <w:t>Intraday trading performed manually requires continuous monitoring of market conditions and repeated execution of the same decision rules. This creates operational risks such as delayed decision-making, inconsistent application of strategy rules, incorrect quantity calculations, missed exits, duplicate orders and limited auditability.</w:t>
      </w:r>
    </w:p>
    <w:p>
      <w:r>
        <w:t>The opportunity is to standardize the trading decision and execution workflow through configurable rules and automated controls while retaining clear human oversight during the initial paper-trading phase.</w:t>
      </w:r>
    </w:p>
    <w:p>
      <w:pPr>
        <w:pStyle w:val="Heading1"/>
      </w:pPr>
      <w:r>
        <w:t>3. Business Objectives</w:t>
      </w:r>
    </w:p>
    <w:p>
      <w:pPr>
        <w:pStyle w:val="ListBullet"/>
        <w:spacing w:after="20"/>
      </w:pPr>
      <w:r>
        <w:t>Standardize the evaluation of predefined intraday trading conditions.</w:t>
      </w:r>
    </w:p>
    <w:p>
      <w:pPr>
        <w:pStyle w:val="ListBullet"/>
        <w:spacing w:after="20"/>
      </w:pPr>
      <w:r>
        <w:t>Generate consistent trading signals from validated market data.</w:t>
      </w:r>
    </w:p>
    <w:p>
      <w:pPr>
        <w:pStyle w:val="ListBullet"/>
        <w:spacing w:after="20"/>
      </w:pPr>
      <w:r>
        <w:t>Apply risk validation before any order is created or submitted.</w:t>
      </w:r>
    </w:p>
    <w:p>
      <w:pPr>
        <w:pStyle w:val="ListBullet"/>
        <w:spacing w:after="20"/>
      </w:pPr>
      <w:r>
        <w:t>Automate order, execution and position lifecycle tracking.</w:t>
      </w:r>
    </w:p>
    <w:p>
      <w:pPr>
        <w:pStyle w:val="ListBullet"/>
        <w:spacing w:after="20"/>
      </w:pPr>
      <w:r>
        <w:t>Provide historical backtesting to evaluate strategy behaviour before paper trading.</w:t>
      </w:r>
    </w:p>
    <w:p>
      <w:pPr>
        <w:pStyle w:val="ListBullet"/>
        <w:spacing w:after="20"/>
      </w:pPr>
      <w:r>
        <w:t>Provide transparent trade, P&amp;L, performance and exception reporting.</w:t>
      </w:r>
    </w:p>
    <w:p>
      <w:pPr>
        <w:pStyle w:val="ListBullet"/>
        <w:spacing w:after="20"/>
      </w:pPr>
      <w:r>
        <w:t>Maintain an auditable record of strategy, risk and order decisions.</w:t>
      </w:r>
    </w:p>
    <w:p>
      <w:pPr>
        <w:pStyle w:val="ListBullet"/>
        <w:spacing w:after="20"/>
      </w:pPr>
      <w:r>
        <w:t>Establish a controlled foundation that can later support additional instruments or strategies.</w:t>
      </w:r>
    </w:p>
    <w:p>
      <w:pPr>
        <w:pStyle w:val="Heading1"/>
      </w:pPr>
      <w:r>
        <w:t>4. Project Vision</w:t>
      </w:r>
    </w:p>
    <w:p>
      <w:r>
        <w:t>Create a controlled algorithmic trading workflow in which market information is converted into a strategy signal, the signal is independently validated against risk rules, and only approved signals proceed through order management and execution monitoring.</w:t>
      </w:r>
    </w:p>
    <w:p>
      <w:pPr>
        <w:jc w:val="center"/>
      </w:pPr>
      <w:r>
        <w:rPr>
          <w:b/>
        </w:rPr>
        <w:t>Market Data → Strategy Evaluation → Signal → Risk Validation → Order Management → Execution → Position → P&amp;L</w:t>
      </w:r>
    </w:p>
    <w:p>
      <w:pPr>
        <w:pStyle w:val="Heading1"/>
      </w:pPr>
      <w:r>
        <w:t>5. High-Level Solution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Component</w:t>
            </w:r>
          </w:p>
        </w:tc>
        <w:tc>
          <w:tcPr>
            <w:tcW w:type="dxa" w:w="5040"/>
            <w:vAlign w:val="center"/>
            <w:shd w:fill="D9EAF7"/>
          </w:tcPr>
          <w:p>
            <w:pPr>
              <w:spacing w:after="0"/>
            </w:pPr>
            <w:r>
              <w:rPr>
                <w:b/>
                <w:sz w:val="18"/>
              </w:rPr>
              <w:t>Purpose</w:t>
            </w:r>
          </w:p>
        </w:tc>
      </w:tr>
      <w:tr>
        <w:tc>
          <w:tcPr>
            <w:tcW w:type="dxa" w:w="5040"/>
            <w:vAlign w:val="center"/>
          </w:tcPr>
          <w:p>
            <w:pPr>
              <w:spacing w:after="0"/>
            </w:pPr>
            <w:r>
              <w:rPr>
                <w:b w:val="0"/>
                <w:sz w:val="18"/>
              </w:rPr>
              <w:t>Market Data Service</w:t>
            </w:r>
          </w:p>
        </w:tc>
        <w:tc>
          <w:tcPr>
            <w:tcW w:type="dxa" w:w="5040"/>
            <w:vAlign w:val="center"/>
          </w:tcPr>
          <w:p>
            <w:pPr>
              <w:spacing w:after="0"/>
            </w:pPr>
            <w:r>
              <w:rPr>
                <w:b w:val="0"/>
                <w:sz w:val="18"/>
              </w:rPr>
              <w:t>Acquire and validate OHLCV market data.</w:t>
            </w:r>
          </w:p>
        </w:tc>
      </w:tr>
      <w:tr>
        <w:tc>
          <w:tcPr>
            <w:tcW w:type="dxa" w:w="5040"/>
            <w:vAlign w:val="center"/>
          </w:tcPr>
          <w:p>
            <w:pPr>
              <w:spacing w:after="0"/>
            </w:pPr>
            <w:r>
              <w:rPr>
                <w:b w:val="0"/>
                <w:sz w:val="18"/>
              </w:rPr>
              <w:t>Indicator Engine</w:t>
            </w:r>
          </w:p>
        </w:tc>
        <w:tc>
          <w:tcPr>
            <w:tcW w:type="dxa" w:w="5040"/>
            <w:vAlign w:val="center"/>
          </w:tcPr>
          <w:p>
            <w:pPr>
              <w:spacing w:after="0"/>
            </w:pPr>
            <w:r>
              <w:rPr>
                <w:b w:val="0"/>
                <w:sz w:val="18"/>
              </w:rPr>
              <w:t>Calculate configured technical indicators.</w:t>
            </w:r>
          </w:p>
        </w:tc>
      </w:tr>
      <w:tr>
        <w:tc>
          <w:tcPr>
            <w:tcW w:type="dxa" w:w="5040"/>
            <w:vAlign w:val="center"/>
          </w:tcPr>
          <w:p>
            <w:pPr>
              <w:spacing w:after="0"/>
            </w:pPr>
            <w:r>
              <w:rPr>
                <w:b w:val="0"/>
                <w:sz w:val="18"/>
              </w:rPr>
              <w:t>Strategy Engine</w:t>
            </w:r>
          </w:p>
        </w:tc>
        <w:tc>
          <w:tcPr>
            <w:tcW w:type="dxa" w:w="5040"/>
            <w:vAlign w:val="center"/>
          </w:tcPr>
          <w:p>
            <w:pPr>
              <w:spacing w:after="0"/>
            </w:pPr>
            <w:r>
              <w:rPr>
                <w:b w:val="0"/>
                <w:sz w:val="18"/>
              </w:rPr>
              <w:t>Evaluate trading rules against current market conditions.</w:t>
            </w:r>
          </w:p>
        </w:tc>
      </w:tr>
      <w:tr>
        <w:tc>
          <w:tcPr>
            <w:tcW w:type="dxa" w:w="5040"/>
            <w:vAlign w:val="center"/>
          </w:tcPr>
          <w:p>
            <w:pPr>
              <w:spacing w:after="0"/>
            </w:pPr>
            <w:r>
              <w:rPr>
                <w:b w:val="0"/>
                <w:sz w:val="18"/>
              </w:rPr>
              <w:t>Signal Manager</w:t>
            </w:r>
          </w:p>
        </w:tc>
        <w:tc>
          <w:tcPr>
            <w:tcW w:type="dxa" w:w="5040"/>
            <w:vAlign w:val="center"/>
          </w:tcPr>
          <w:p>
            <w:pPr>
              <w:spacing w:after="0"/>
            </w:pPr>
            <w:r>
              <w:rPr>
                <w:b w:val="0"/>
                <w:sz w:val="18"/>
              </w:rPr>
              <w:t>Create, store and manage BUY/SELL signals.</w:t>
            </w:r>
          </w:p>
        </w:tc>
      </w:tr>
      <w:tr>
        <w:tc>
          <w:tcPr>
            <w:tcW w:type="dxa" w:w="5040"/>
            <w:vAlign w:val="center"/>
          </w:tcPr>
          <w:p>
            <w:pPr>
              <w:spacing w:after="0"/>
            </w:pPr>
            <w:r>
              <w:rPr>
                <w:b w:val="0"/>
                <w:sz w:val="18"/>
              </w:rPr>
              <w:t>Risk Engine</w:t>
            </w:r>
          </w:p>
        </w:tc>
        <w:tc>
          <w:tcPr>
            <w:tcW w:type="dxa" w:w="5040"/>
            <w:vAlign w:val="center"/>
          </w:tcPr>
          <w:p>
            <w:pPr>
              <w:spacing w:after="0"/>
            </w:pPr>
            <w:r>
              <w:rPr>
                <w:b w:val="0"/>
                <w:sz w:val="18"/>
              </w:rPr>
              <w:t>Validate exposure, daily loss, quantity, trading window and other controls.</w:t>
            </w:r>
          </w:p>
        </w:tc>
      </w:tr>
      <w:tr>
        <w:tc>
          <w:tcPr>
            <w:tcW w:type="dxa" w:w="5040"/>
            <w:vAlign w:val="center"/>
          </w:tcPr>
          <w:p>
            <w:pPr>
              <w:spacing w:after="0"/>
            </w:pPr>
            <w:r>
              <w:rPr>
                <w:b w:val="0"/>
                <w:sz w:val="18"/>
              </w:rPr>
              <w:t>Order Manager</w:t>
            </w:r>
          </w:p>
        </w:tc>
        <w:tc>
          <w:tcPr>
            <w:tcW w:type="dxa" w:w="5040"/>
            <w:vAlign w:val="center"/>
          </w:tcPr>
          <w:p>
            <w:pPr>
              <w:spacing w:after="0"/>
            </w:pPr>
            <w:r>
              <w:rPr>
                <w:b w:val="0"/>
                <w:sz w:val="18"/>
              </w:rPr>
              <w:t>Create, submit and track order lifecycle.</w:t>
            </w:r>
          </w:p>
        </w:tc>
      </w:tr>
      <w:tr>
        <w:tc>
          <w:tcPr>
            <w:tcW w:type="dxa" w:w="5040"/>
            <w:vAlign w:val="center"/>
          </w:tcPr>
          <w:p>
            <w:pPr>
              <w:spacing w:after="0"/>
            </w:pPr>
            <w:r>
              <w:rPr>
                <w:b w:val="0"/>
                <w:sz w:val="18"/>
              </w:rPr>
              <w:t>Broker API Integration</w:t>
            </w:r>
          </w:p>
        </w:tc>
        <w:tc>
          <w:tcPr>
            <w:tcW w:type="dxa" w:w="5040"/>
            <w:vAlign w:val="center"/>
          </w:tcPr>
          <w:p>
            <w:pPr>
              <w:spacing w:after="0"/>
            </w:pPr>
            <w:r>
              <w:rPr>
                <w:b w:val="0"/>
                <w:sz w:val="18"/>
              </w:rPr>
              <w:t>Exchange orders with the selected broker.</w:t>
            </w:r>
          </w:p>
        </w:tc>
      </w:tr>
      <w:tr>
        <w:tc>
          <w:tcPr>
            <w:tcW w:type="dxa" w:w="5040"/>
            <w:vAlign w:val="center"/>
          </w:tcPr>
          <w:p>
            <w:pPr>
              <w:spacing w:after="0"/>
            </w:pPr>
            <w:r>
              <w:rPr>
                <w:b w:val="0"/>
                <w:sz w:val="18"/>
              </w:rPr>
              <w:t>Position Manager</w:t>
            </w:r>
          </w:p>
        </w:tc>
        <w:tc>
          <w:tcPr>
            <w:tcW w:type="dxa" w:w="5040"/>
            <w:vAlign w:val="center"/>
          </w:tcPr>
          <w:p>
            <w:pPr>
              <w:spacing w:after="0"/>
            </w:pPr>
            <w:r>
              <w:rPr>
                <w:b w:val="0"/>
                <w:sz w:val="18"/>
              </w:rPr>
              <w:t>Track open/closed positions and execution state.</w:t>
            </w:r>
          </w:p>
        </w:tc>
      </w:tr>
      <w:tr>
        <w:tc>
          <w:tcPr>
            <w:tcW w:type="dxa" w:w="5040"/>
            <w:vAlign w:val="center"/>
          </w:tcPr>
          <w:p>
            <w:pPr>
              <w:spacing w:after="0"/>
            </w:pPr>
            <w:r>
              <w:rPr>
                <w:b w:val="0"/>
                <w:sz w:val="18"/>
              </w:rPr>
              <w:t>P&amp;L Engine</w:t>
            </w:r>
          </w:p>
        </w:tc>
        <w:tc>
          <w:tcPr>
            <w:tcW w:type="dxa" w:w="5040"/>
            <w:vAlign w:val="center"/>
          </w:tcPr>
          <w:p>
            <w:pPr>
              <w:spacing w:after="0"/>
            </w:pPr>
            <w:r>
              <w:rPr>
                <w:b w:val="0"/>
                <w:sz w:val="18"/>
              </w:rPr>
              <w:t>Calculate realised and unrealised performance.</w:t>
            </w:r>
          </w:p>
        </w:tc>
      </w:tr>
      <w:tr>
        <w:tc>
          <w:tcPr>
            <w:tcW w:type="dxa" w:w="5040"/>
            <w:vAlign w:val="center"/>
          </w:tcPr>
          <w:p>
            <w:pPr>
              <w:spacing w:after="0"/>
            </w:pPr>
            <w:r>
              <w:rPr>
                <w:b w:val="0"/>
                <w:sz w:val="18"/>
              </w:rPr>
              <w:t>Dashboard &amp; Reporting</w:t>
            </w:r>
          </w:p>
        </w:tc>
        <w:tc>
          <w:tcPr>
            <w:tcW w:type="dxa" w:w="5040"/>
            <w:vAlign w:val="center"/>
          </w:tcPr>
          <w:p>
            <w:pPr>
              <w:spacing w:after="0"/>
            </w:pPr>
            <w:r>
              <w:rPr>
                <w:b w:val="0"/>
                <w:sz w:val="18"/>
              </w:rPr>
              <w:t>Present trades, P&amp;L, performance and exceptions.</w:t>
            </w:r>
          </w:p>
        </w:tc>
      </w:tr>
      <w:tr>
        <w:tc>
          <w:tcPr>
            <w:tcW w:type="dxa" w:w="5040"/>
            <w:vAlign w:val="center"/>
          </w:tcPr>
          <w:p>
            <w:pPr>
              <w:spacing w:after="0"/>
            </w:pPr>
            <w:r>
              <w:rPr>
                <w:b w:val="0"/>
                <w:sz w:val="18"/>
              </w:rPr>
              <w:t>Audit &amp; Reconciliation</w:t>
            </w:r>
          </w:p>
        </w:tc>
        <w:tc>
          <w:tcPr>
            <w:tcW w:type="dxa" w:w="5040"/>
            <w:vAlign w:val="center"/>
          </w:tcPr>
          <w:p>
            <w:pPr>
              <w:spacing w:after="0"/>
            </w:pPr>
            <w:r>
              <w:rPr>
                <w:b w:val="0"/>
                <w:sz w:val="18"/>
              </w:rPr>
              <w:t>Maintain traceability and compare internal records with broker records.</w:t>
            </w:r>
          </w:p>
        </w:tc>
      </w:tr>
    </w:tbl>
    <w:p>
      <w:pPr>
        <w:pStyle w:val="Heading1"/>
      </w:pPr>
      <w:r>
        <w:t>6. Project Scope</w:t>
      </w:r>
    </w:p>
    <w:p>
      <w:pPr>
        <w:pStyle w:val="Heading2"/>
      </w:pPr>
      <w:r>
        <w:t>6.1 In Scope</w:t>
      </w:r>
    </w:p>
    <w:p>
      <w:pPr>
        <w:pStyle w:val="ListBullet"/>
        <w:spacing w:after="20"/>
      </w:pPr>
      <w:r>
        <w:t>NIFTY intraday trading workflow for V1.</w:t>
      </w:r>
    </w:p>
    <w:p>
      <w:pPr>
        <w:pStyle w:val="ListBullet"/>
        <w:spacing w:after="20"/>
      </w:pPr>
      <w:r>
        <w:t>Market-data ingestion and validation.</w:t>
      </w:r>
    </w:p>
    <w:p>
      <w:pPr>
        <w:pStyle w:val="ListBullet"/>
        <w:spacing w:after="20"/>
      </w:pPr>
      <w:r>
        <w:t>Technical indicator calculation.</w:t>
      </w:r>
    </w:p>
    <w:p>
      <w:pPr>
        <w:pStyle w:val="ListBullet"/>
        <w:spacing w:after="20"/>
      </w:pPr>
      <w:r>
        <w:t>Rule-based trading signal generation.</w:t>
      </w:r>
    </w:p>
    <w:p>
      <w:pPr>
        <w:pStyle w:val="ListBullet"/>
        <w:spacing w:after="20"/>
      </w:pPr>
      <w:r>
        <w:t>Configurable entry and exit conditions.</w:t>
      </w:r>
    </w:p>
    <w:p>
      <w:pPr>
        <w:pStyle w:val="ListBullet"/>
        <w:spacing w:after="20"/>
      </w:pPr>
      <w:r>
        <w:t>Risk validation and position-sizing requirements.</w:t>
      </w:r>
    </w:p>
    <w:p>
      <w:pPr>
        <w:pStyle w:val="ListBullet"/>
        <w:spacing w:after="20"/>
      </w:pPr>
      <w:r>
        <w:t>Order creation and broker API integration requirements.</w:t>
      </w:r>
    </w:p>
    <w:p>
      <w:pPr>
        <w:pStyle w:val="ListBullet"/>
        <w:spacing w:after="20"/>
      </w:pPr>
      <w:r>
        <w:t>Order and position lifecycle management.</w:t>
      </w:r>
    </w:p>
    <w:p>
      <w:pPr>
        <w:pStyle w:val="ListBullet"/>
        <w:spacing w:after="20"/>
      </w:pPr>
      <w:r>
        <w:t>Historical backtesting.</w:t>
      </w:r>
    </w:p>
    <w:p>
      <w:pPr>
        <w:pStyle w:val="ListBullet"/>
        <w:spacing w:after="20"/>
      </w:pPr>
      <w:r>
        <w:t>Paper trading.</w:t>
      </w:r>
    </w:p>
    <w:p>
      <w:pPr>
        <w:pStyle w:val="ListBullet"/>
        <w:spacing w:after="20"/>
      </w:pPr>
      <w:r>
        <w:t>P&amp;L and performance reporting.</w:t>
      </w:r>
    </w:p>
    <w:p>
      <w:pPr>
        <w:pStyle w:val="ListBullet"/>
        <w:spacing w:after="20"/>
      </w:pPr>
      <w:r>
        <w:t>Exception handling, audit logging and reconciliation.</w:t>
      </w:r>
    </w:p>
    <w:p>
      <w:pPr>
        <w:pStyle w:val="ListBullet"/>
        <w:spacing w:after="20"/>
      </w:pPr>
      <w:r>
        <w:t>Business Analysis, functional specifications, UAT and traceability.</w:t>
      </w:r>
    </w:p>
    <w:p>
      <w:pPr>
        <w:pStyle w:val="Heading2"/>
      </w:pPr>
      <w:r>
        <w:t>6.2 Out of Scope – V1</w:t>
      </w:r>
    </w:p>
    <w:p>
      <w:pPr>
        <w:pStyle w:val="ListBullet"/>
        <w:spacing w:after="20"/>
      </w:pPr>
      <w:r>
        <w:t>High-frequency trading (HFT).</w:t>
      </w:r>
    </w:p>
    <w:p>
      <w:pPr>
        <w:pStyle w:val="ListBullet"/>
        <w:spacing w:after="20"/>
      </w:pPr>
      <w:r>
        <w:t>Machine-learning or AI-based signal generation.</w:t>
      </w:r>
    </w:p>
    <w:p>
      <w:pPr>
        <w:pStyle w:val="ListBullet"/>
        <w:spacing w:after="20"/>
      </w:pPr>
      <w:r>
        <w:t>Multi-exchange trading.</w:t>
      </w:r>
    </w:p>
    <w:p>
      <w:pPr>
        <w:pStyle w:val="ListBullet"/>
        <w:spacing w:after="20"/>
      </w:pPr>
      <w:r>
        <w:t>Complex portfolio optimization.</w:t>
      </w:r>
    </w:p>
    <w:p>
      <w:pPr>
        <w:pStyle w:val="ListBullet"/>
        <w:spacing w:after="20"/>
      </w:pPr>
      <w:r>
        <w:t>Unsupervised autonomous production trading.</w:t>
      </w:r>
    </w:p>
    <w:p>
      <w:pPr>
        <w:pStyle w:val="ListBullet"/>
        <w:spacing w:after="20"/>
      </w:pPr>
      <w:r>
        <w:t>Guaranteeing or representing a target financial return.</w:t>
      </w:r>
    </w:p>
    <w:p>
      <w:pPr>
        <w:pStyle w:val="ListBullet"/>
        <w:spacing w:after="20"/>
      </w:pPr>
      <w:r>
        <w:t>Direct deployment with unrestricted real-money trading.</w:t>
      </w:r>
    </w:p>
    <w:p>
      <w:pPr>
        <w:pStyle w:val="Heading1"/>
      </w:pPr>
      <w:r>
        <w:t>7.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Stakeholder</w:t>
            </w:r>
          </w:p>
        </w:tc>
        <w:tc>
          <w:tcPr>
            <w:tcW w:type="dxa" w:w="3360"/>
            <w:vAlign w:val="center"/>
            <w:shd w:fill="D9EAF7"/>
          </w:tcPr>
          <w:p>
            <w:pPr>
              <w:spacing w:after="0"/>
            </w:pPr>
            <w:r>
              <w:rPr>
                <w:b/>
                <w:sz w:val="18"/>
              </w:rPr>
              <w:t>Interest / Responsibility</w:t>
            </w:r>
          </w:p>
        </w:tc>
        <w:tc>
          <w:tcPr>
            <w:tcW w:type="dxa" w:w="3360"/>
            <w:vAlign w:val="center"/>
            <w:shd w:fill="D9EAF7"/>
          </w:tcPr>
          <w:p>
            <w:pPr>
              <w:spacing w:after="0"/>
            </w:pPr>
            <w:r>
              <w:rPr>
                <w:b/>
                <w:sz w:val="18"/>
              </w:rPr>
              <w:t>Influence</w:t>
            </w:r>
          </w:p>
        </w:tc>
      </w:tr>
      <w:tr>
        <w:tc>
          <w:tcPr>
            <w:tcW w:type="dxa" w:w="3360"/>
            <w:vAlign w:val="center"/>
          </w:tcPr>
          <w:p>
            <w:pPr>
              <w:spacing w:after="0"/>
            </w:pPr>
            <w:r>
              <w:rPr>
                <w:b w:val="0"/>
                <w:sz w:val="18"/>
              </w:rPr>
              <w:t>Trader / Business User</w:t>
            </w:r>
          </w:p>
        </w:tc>
        <w:tc>
          <w:tcPr>
            <w:tcW w:type="dxa" w:w="3360"/>
            <w:vAlign w:val="center"/>
          </w:tcPr>
          <w:p>
            <w:pPr>
              <w:spacing w:after="0"/>
            </w:pPr>
            <w:r>
              <w:rPr>
                <w:b w:val="0"/>
                <w:sz w:val="18"/>
              </w:rPr>
              <w:t>Defines strategy expectations, reviews signals and trading workflow.</w:t>
            </w:r>
          </w:p>
        </w:tc>
        <w:tc>
          <w:tcPr>
            <w:tcW w:type="dxa" w:w="3360"/>
            <w:vAlign w:val="center"/>
          </w:tcPr>
          <w:p>
            <w:pPr>
              <w:spacing w:after="0"/>
            </w:pPr>
            <w:r>
              <w:rPr>
                <w:b w:val="0"/>
                <w:sz w:val="18"/>
              </w:rPr>
              <w:t>High</w:t>
            </w:r>
          </w:p>
        </w:tc>
      </w:tr>
      <w:tr>
        <w:tc>
          <w:tcPr>
            <w:tcW w:type="dxa" w:w="3360"/>
            <w:vAlign w:val="center"/>
          </w:tcPr>
          <w:p>
            <w:pPr>
              <w:spacing w:after="0"/>
            </w:pPr>
            <w:r>
              <w:rPr>
                <w:b w:val="0"/>
                <w:sz w:val="18"/>
              </w:rPr>
              <w:t>Business Analyst</w:t>
            </w:r>
          </w:p>
        </w:tc>
        <w:tc>
          <w:tcPr>
            <w:tcW w:type="dxa" w:w="3360"/>
            <w:vAlign w:val="center"/>
          </w:tcPr>
          <w:p>
            <w:pPr>
              <w:spacing w:after="0"/>
            </w:pPr>
            <w:r>
              <w:rPr>
                <w:b w:val="0"/>
                <w:sz w:val="18"/>
              </w:rPr>
              <w:t>Owns requirements, process analysis, documentation, UAT and traceability.</w:t>
            </w:r>
          </w:p>
        </w:tc>
        <w:tc>
          <w:tcPr>
            <w:tcW w:type="dxa" w:w="3360"/>
            <w:vAlign w:val="center"/>
          </w:tcPr>
          <w:p>
            <w:pPr>
              <w:spacing w:after="0"/>
            </w:pPr>
            <w:r>
              <w:rPr>
                <w:b w:val="0"/>
                <w:sz w:val="18"/>
              </w:rPr>
              <w:t>High</w:t>
            </w:r>
          </w:p>
        </w:tc>
      </w:tr>
      <w:tr>
        <w:tc>
          <w:tcPr>
            <w:tcW w:type="dxa" w:w="3360"/>
            <w:vAlign w:val="center"/>
          </w:tcPr>
          <w:p>
            <w:pPr>
              <w:spacing w:after="0"/>
            </w:pPr>
            <w:r>
              <w:rPr>
                <w:b w:val="0"/>
                <w:sz w:val="18"/>
              </w:rPr>
              <w:t>Developer</w:t>
            </w:r>
          </w:p>
        </w:tc>
        <w:tc>
          <w:tcPr>
            <w:tcW w:type="dxa" w:w="3360"/>
            <w:vAlign w:val="center"/>
          </w:tcPr>
          <w:p>
            <w:pPr>
              <w:spacing w:after="0"/>
            </w:pPr>
            <w:r>
              <w:rPr>
                <w:b w:val="0"/>
                <w:sz w:val="18"/>
              </w:rPr>
              <w:t>Implements application, strategy, risk, database and integration components.</w:t>
            </w:r>
          </w:p>
        </w:tc>
        <w:tc>
          <w:tcPr>
            <w:tcW w:type="dxa" w:w="3360"/>
            <w:vAlign w:val="center"/>
          </w:tcPr>
          <w:p>
            <w:pPr>
              <w:spacing w:after="0"/>
            </w:pPr>
            <w:r>
              <w:rPr>
                <w:b w:val="0"/>
                <w:sz w:val="18"/>
              </w:rPr>
              <w:t>High</w:t>
            </w:r>
          </w:p>
        </w:tc>
      </w:tr>
      <w:tr>
        <w:tc>
          <w:tcPr>
            <w:tcW w:type="dxa" w:w="3360"/>
            <w:vAlign w:val="center"/>
          </w:tcPr>
          <w:p>
            <w:pPr>
              <w:spacing w:after="0"/>
            </w:pPr>
            <w:r>
              <w:rPr>
                <w:b w:val="0"/>
                <w:sz w:val="18"/>
              </w:rPr>
              <w:t>QA / Tester</w:t>
            </w:r>
          </w:p>
        </w:tc>
        <w:tc>
          <w:tcPr>
            <w:tcW w:type="dxa" w:w="3360"/>
            <w:vAlign w:val="center"/>
          </w:tcPr>
          <w:p>
            <w:pPr>
              <w:spacing w:after="0"/>
            </w:pPr>
            <w:r>
              <w:rPr>
                <w:b w:val="0"/>
                <w:sz w:val="18"/>
              </w:rPr>
              <w:t>Validates functional, integration, negative and regression scenarios.</w:t>
            </w:r>
          </w:p>
        </w:tc>
        <w:tc>
          <w:tcPr>
            <w:tcW w:type="dxa" w:w="3360"/>
            <w:vAlign w:val="center"/>
          </w:tcPr>
          <w:p>
            <w:pPr>
              <w:spacing w:after="0"/>
            </w:pPr>
            <w:r>
              <w:rPr>
                <w:b w:val="0"/>
                <w:sz w:val="18"/>
              </w:rPr>
              <w:t>Medium</w:t>
            </w:r>
          </w:p>
        </w:tc>
      </w:tr>
      <w:tr>
        <w:tc>
          <w:tcPr>
            <w:tcW w:type="dxa" w:w="3360"/>
            <w:vAlign w:val="center"/>
          </w:tcPr>
          <w:p>
            <w:pPr>
              <w:spacing w:after="0"/>
            </w:pPr>
            <w:r>
              <w:rPr>
                <w:b w:val="0"/>
                <w:sz w:val="18"/>
              </w:rPr>
              <w:t>Risk User</w:t>
            </w:r>
          </w:p>
        </w:tc>
        <w:tc>
          <w:tcPr>
            <w:tcW w:type="dxa" w:w="3360"/>
            <w:vAlign w:val="center"/>
          </w:tcPr>
          <w:p>
            <w:pPr>
              <w:spacing w:after="0"/>
            </w:pPr>
            <w:r>
              <w:rPr>
                <w:b w:val="0"/>
                <w:sz w:val="18"/>
              </w:rPr>
              <w:t>Defines and reviews risk-control requirements.</w:t>
            </w:r>
          </w:p>
        </w:tc>
        <w:tc>
          <w:tcPr>
            <w:tcW w:type="dxa" w:w="3360"/>
            <w:vAlign w:val="center"/>
          </w:tcPr>
          <w:p>
            <w:pPr>
              <w:spacing w:after="0"/>
            </w:pPr>
            <w:r>
              <w:rPr>
                <w:b w:val="0"/>
                <w:sz w:val="18"/>
              </w:rPr>
              <w:t>High</w:t>
            </w:r>
          </w:p>
        </w:tc>
      </w:tr>
      <w:tr>
        <w:tc>
          <w:tcPr>
            <w:tcW w:type="dxa" w:w="3360"/>
            <w:vAlign w:val="center"/>
          </w:tcPr>
          <w:p>
            <w:pPr>
              <w:spacing w:after="0"/>
            </w:pPr>
            <w:r>
              <w:rPr>
                <w:b w:val="0"/>
                <w:sz w:val="18"/>
              </w:rPr>
              <w:t>Trading Operations</w:t>
            </w:r>
          </w:p>
        </w:tc>
        <w:tc>
          <w:tcPr>
            <w:tcW w:type="dxa" w:w="3360"/>
            <w:vAlign w:val="center"/>
          </w:tcPr>
          <w:p>
            <w:pPr>
              <w:spacing w:after="0"/>
            </w:pPr>
            <w:r>
              <w:rPr>
                <w:b w:val="0"/>
                <w:sz w:val="18"/>
              </w:rPr>
              <w:t>Monitors orders, positions, exceptions and reconciliation.</w:t>
            </w:r>
          </w:p>
        </w:tc>
        <w:tc>
          <w:tcPr>
            <w:tcW w:type="dxa" w:w="3360"/>
            <w:vAlign w:val="center"/>
          </w:tcPr>
          <w:p>
            <w:pPr>
              <w:spacing w:after="0"/>
            </w:pPr>
            <w:r>
              <w:rPr>
                <w:b w:val="0"/>
                <w:sz w:val="18"/>
              </w:rPr>
              <w:t>Medium</w:t>
            </w:r>
          </w:p>
        </w:tc>
      </w:tr>
      <w:tr>
        <w:tc>
          <w:tcPr>
            <w:tcW w:type="dxa" w:w="3360"/>
            <w:vAlign w:val="center"/>
          </w:tcPr>
          <w:p>
            <w:pPr>
              <w:spacing w:after="0"/>
            </w:pPr>
            <w:r>
              <w:rPr>
                <w:b w:val="0"/>
                <w:sz w:val="18"/>
              </w:rPr>
              <w:t>Broker / API Provider</w:t>
            </w:r>
          </w:p>
        </w:tc>
        <w:tc>
          <w:tcPr>
            <w:tcW w:type="dxa" w:w="3360"/>
            <w:vAlign w:val="center"/>
          </w:tcPr>
          <w:p>
            <w:pPr>
              <w:spacing w:after="0"/>
            </w:pPr>
            <w:r>
              <w:rPr>
                <w:b w:val="0"/>
                <w:sz w:val="18"/>
              </w:rPr>
              <w:t>Provides market/order integration interface.</w:t>
            </w:r>
          </w:p>
        </w:tc>
        <w:tc>
          <w:tcPr>
            <w:tcW w:type="dxa" w:w="3360"/>
            <w:vAlign w:val="center"/>
          </w:tcPr>
          <w:p>
            <w:pPr>
              <w:spacing w:after="0"/>
            </w:pPr>
            <w:r>
              <w:rPr>
                <w:b w:val="0"/>
                <w:sz w:val="18"/>
              </w:rPr>
              <w:t>High</w:t>
            </w:r>
          </w:p>
        </w:tc>
      </w:tr>
      <w:tr>
        <w:tc>
          <w:tcPr>
            <w:tcW w:type="dxa" w:w="3360"/>
            <w:vAlign w:val="center"/>
          </w:tcPr>
          <w:p>
            <w:pPr>
              <w:spacing w:after="0"/>
            </w:pPr>
            <w:r>
              <w:rPr>
                <w:b w:val="0"/>
                <w:sz w:val="18"/>
              </w:rPr>
              <w:t>System Administrator</w:t>
            </w:r>
          </w:p>
        </w:tc>
        <w:tc>
          <w:tcPr>
            <w:tcW w:type="dxa" w:w="3360"/>
            <w:vAlign w:val="center"/>
          </w:tcPr>
          <w:p>
            <w:pPr>
              <w:spacing w:after="0"/>
            </w:pPr>
            <w:r>
              <w:rPr>
                <w:b w:val="0"/>
                <w:sz w:val="18"/>
              </w:rPr>
              <w:t>Supports configuration, monitoring and operational availability.</w:t>
            </w:r>
          </w:p>
        </w:tc>
        <w:tc>
          <w:tcPr>
            <w:tcW w:type="dxa" w:w="3360"/>
            <w:vAlign w:val="center"/>
          </w:tcPr>
          <w:p>
            <w:pPr>
              <w:spacing w:after="0"/>
            </w:pPr>
            <w:r>
              <w:rPr>
                <w:b w:val="0"/>
                <w:sz w:val="18"/>
              </w:rPr>
              <w:t>Medium</w:t>
            </w:r>
          </w:p>
        </w:tc>
      </w:tr>
    </w:tbl>
    <w:p>
      <w:pPr>
        <w:pStyle w:val="Heading1"/>
      </w:pPr>
      <w:r>
        <w:t>8. High-Level Business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ID</w:t>
            </w:r>
          </w:p>
        </w:tc>
        <w:tc>
          <w:tcPr>
            <w:tcW w:type="dxa" w:w="5040"/>
            <w:vAlign w:val="center"/>
            <w:shd w:fill="D9EAF7"/>
          </w:tcPr>
          <w:p>
            <w:pPr>
              <w:spacing w:after="0"/>
            </w:pPr>
            <w:r>
              <w:rPr>
                <w:b/>
                <w:sz w:val="18"/>
              </w:rPr>
              <w:t>High-Level Business Requirement</w:t>
            </w:r>
          </w:p>
        </w:tc>
      </w:tr>
      <w:tr>
        <w:tc>
          <w:tcPr>
            <w:tcW w:type="dxa" w:w="5040"/>
            <w:vAlign w:val="center"/>
          </w:tcPr>
          <w:p>
            <w:pPr>
              <w:spacing w:after="0"/>
            </w:pPr>
            <w:r>
              <w:rPr>
                <w:b w:val="0"/>
                <w:sz w:val="18"/>
              </w:rPr>
              <w:t>BR-001</w:t>
            </w:r>
          </w:p>
        </w:tc>
        <w:tc>
          <w:tcPr>
            <w:tcW w:type="dxa" w:w="5040"/>
            <w:vAlign w:val="center"/>
          </w:tcPr>
          <w:p>
            <w:pPr>
              <w:spacing w:after="0"/>
            </w:pPr>
            <w:r>
              <w:rPr>
                <w:b w:val="0"/>
                <w:sz w:val="18"/>
              </w:rPr>
              <w:t>The system shall ingest and validate market data required by the configured trading strategy.</w:t>
            </w:r>
          </w:p>
        </w:tc>
      </w:tr>
      <w:tr>
        <w:tc>
          <w:tcPr>
            <w:tcW w:type="dxa" w:w="5040"/>
            <w:vAlign w:val="center"/>
          </w:tcPr>
          <w:p>
            <w:pPr>
              <w:spacing w:after="0"/>
            </w:pPr>
            <w:r>
              <w:rPr>
                <w:b w:val="0"/>
                <w:sz w:val="18"/>
              </w:rPr>
              <w:t>BR-002</w:t>
            </w:r>
          </w:p>
        </w:tc>
        <w:tc>
          <w:tcPr>
            <w:tcW w:type="dxa" w:w="5040"/>
            <w:vAlign w:val="center"/>
          </w:tcPr>
          <w:p>
            <w:pPr>
              <w:spacing w:after="0"/>
            </w:pPr>
            <w:r>
              <w:rPr>
                <w:b w:val="0"/>
                <w:sz w:val="18"/>
              </w:rPr>
              <w:t>The system shall evaluate predefined strategy conditions at the configured timeframe.</w:t>
            </w:r>
          </w:p>
        </w:tc>
      </w:tr>
      <w:tr>
        <w:tc>
          <w:tcPr>
            <w:tcW w:type="dxa" w:w="5040"/>
            <w:vAlign w:val="center"/>
          </w:tcPr>
          <w:p>
            <w:pPr>
              <w:spacing w:after="0"/>
            </w:pPr>
            <w:r>
              <w:rPr>
                <w:b w:val="0"/>
                <w:sz w:val="18"/>
              </w:rPr>
              <w:t>BR-003</w:t>
            </w:r>
          </w:p>
        </w:tc>
        <w:tc>
          <w:tcPr>
            <w:tcW w:type="dxa" w:w="5040"/>
            <w:vAlign w:val="center"/>
          </w:tcPr>
          <w:p>
            <w:pPr>
              <w:spacing w:after="0"/>
            </w:pPr>
            <w:r>
              <w:rPr>
                <w:b w:val="0"/>
                <w:sz w:val="18"/>
              </w:rPr>
              <w:t>The system shall generate a trading signal only when all mandatory strategy conditions are satisfied.</w:t>
            </w:r>
          </w:p>
        </w:tc>
      </w:tr>
      <w:tr>
        <w:tc>
          <w:tcPr>
            <w:tcW w:type="dxa" w:w="5040"/>
            <w:vAlign w:val="center"/>
          </w:tcPr>
          <w:p>
            <w:pPr>
              <w:spacing w:after="0"/>
            </w:pPr>
            <w:r>
              <w:rPr>
                <w:b w:val="0"/>
                <w:sz w:val="18"/>
              </w:rPr>
              <w:t>BR-004</w:t>
            </w:r>
          </w:p>
        </w:tc>
        <w:tc>
          <w:tcPr>
            <w:tcW w:type="dxa" w:w="5040"/>
            <w:vAlign w:val="center"/>
          </w:tcPr>
          <w:p>
            <w:pPr>
              <w:spacing w:after="0"/>
            </w:pPr>
            <w:r>
              <w:rPr>
                <w:b w:val="0"/>
                <w:sz w:val="18"/>
              </w:rPr>
              <w:t>Every actionable signal shall pass configured risk validations before an order can be created.</w:t>
            </w:r>
          </w:p>
        </w:tc>
      </w:tr>
      <w:tr>
        <w:tc>
          <w:tcPr>
            <w:tcW w:type="dxa" w:w="5040"/>
            <w:vAlign w:val="center"/>
          </w:tcPr>
          <w:p>
            <w:pPr>
              <w:spacing w:after="0"/>
            </w:pPr>
            <w:r>
              <w:rPr>
                <w:b w:val="0"/>
                <w:sz w:val="18"/>
              </w:rPr>
              <w:t>BR-005</w:t>
            </w:r>
          </w:p>
        </w:tc>
        <w:tc>
          <w:tcPr>
            <w:tcW w:type="dxa" w:w="5040"/>
            <w:vAlign w:val="center"/>
          </w:tcPr>
          <w:p>
            <w:pPr>
              <w:spacing w:after="0"/>
            </w:pPr>
            <w:r>
              <w:rPr>
                <w:b w:val="0"/>
                <w:sz w:val="18"/>
              </w:rPr>
              <w:t>The system shall prevent duplicate or conflicting orders for the same trading condition.</w:t>
            </w:r>
          </w:p>
        </w:tc>
      </w:tr>
      <w:tr>
        <w:tc>
          <w:tcPr>
            <w:tcW w:type="dxa" w:w="5040"/>
            <w:vAlign w:val="center"/>
          </w:tcPr>
          <w:p>
            <w:pPr>
              <w:spacing w:after="0"/>
            </w:pPr>
            <w:r>
              <w:rPr>
                <w:b w:val="0"/>
                <w:sz w:val="18"/>
              </w:rPr>
              <w:t>BR-006</w:t>
            </w:r>
          </w:p>
        </w:tc>
        <w:tc>
          <w:tcPr>
            <w:tcW w:type="dxa" w:w="5040"/>
            <w:vAlign w:val="center"/>
          </w:tcPr>
          <w:p>
            <w:pPr>
              <w:spacing w:after="0"/>
            </w:pPr>
            <w:r>
              <w:rPr>
                <w:b w:val="0"/>
                <w:sz w:val="18"/>
              </w:rPr>
              <w:t>The system shall manage the lifecycle of orders from creation through execution, rejection, cancellation or exception.</w:t>
            </w:r>
          </w:p>
        </w:tc>
      </w:tr>
      <w:tr>
        <w:tc>
          <w:tcPr>
            <w:tcW w:type="dxa" w:w="5040"/>
            <w:vAlign w:val="center"/>
          </w:tcPr>
          <w:p>
            <w:pPr>
              <w:spacing w:after="0"/>
            </w:pPr>
            <w:r>
              <w:rPr>
                <w:b w:val="0"/>
                <w:sz w:val="18"/>
              </w:rPr>
              <w:t>BR-007</w:t>
            </w:r>
          </w:p>
        </w:tc>
        <w:tc>
          <w:tcPr>
            <w:tcW w:type="dxa" w:w="5040"/>
            <w:vAlign w:val="center"/>
          </w:tcPr>
          <w:p>
            <w:pPr>
              <w:spacing w:after="0"/>
            </w:pPr>
            <w:r>
              <w:rPr>
                <w:b w:val="0"/>
                <w:sz w:val="18"/>
              </w:rPr>
              <w:t>The system shall maintain current positions based on confirmed executions.</w:t>
            </w:r>
          </w:p>
        </w:tc>
      </w:tr>
      <w:tr>
        <w:tc>
          <w:tcPr>
            <w:tcW w:type="dxa" w:w="5040"/>
            <w:vAlign w:val="center"/>
          </w:tcPr>
          <w:p>
            <w:pPr>
              <w:spacing w:after="0"/>
            </w:pPr>
            <w:r>
              <w:rPr>
                <w:b w:val="0"/>
                <w:sz w:val="18"/>
              </w:rPr>
              <w:t>BR-008</w:t>
            </w:r>
          </w:p>
        </w:tc>
        <w:tc>
          <w:tcPr>
            <w:tcW w:type="dxa" w:w="5040"/>
            <w:vAlign w:val="center"/>
          </w:tcPr>
          <w:p>
            <w:pPr>
              <w:spacing w:after="0"/>
            </w:pPr>
            <w:r>
              <w:rPr>
                <w:b w:val="0"/>
                <w:sz w:val="18"/>
              </w:rPr>
              <w:t>The system shall calculate and report realised and unrealised P&amp;L.</w:t>
            </w:r>
          </w:p>
        </w:tc>
      </w:tr>
      <w:tr>
        <w:tc>
          <w:tcPr>
            <w:tcW w:type="dxa" w:w="5040"/>
            <w:vAlign w:val="center"/>
          </w:tcPr>
          <w:p>
            <w:pPr>
              <w:spacing w:after="0"/>
            </w:pPr>
            <w:r>
              <w:rPr>
                <w:b w:val="0"/>
                <w:sz w:val="18"/>
              </w:rPr>
              <w:t>BR-009</w:t>
            </w:r>
          </w:p>
        </w:tc>
        <w:tc>
          <w:tcPr>
            <w:tcW w:type="dxa" w:w="5040"/>
            <w:vAlign w:val="center"/>
          </w:tcPr>
          <w:p>
            <w:pPr>
              <w:spacing w:after="0"/>
            </w:pPr>
            <w:r>
              <w:rPr>
                <w:b w:val="0"/>
                <w:sz w:val="18"/>
              </w:rPr>
              <w:t>The system shall support historical backtesting using defined strategy and risk assumptions.</w:t>
            </w:r>
          </w:p>
        </w:tc>
      </w:tr>
      <w:tr>
        <w:tc>
          <w:tcPr>
            <w:tcW w:type="dxa" w:w="5040"/>
            <w:vAlign w:val="center"/>
          </w:tcPr>
          <w:p>
            <w:pPr>
              <w:spacing w:after="0"/>
            </w:pPr>
            <w:r>
              <w:rPr>
                <w:b w:val="0"/>
                <w:sz w:val="18"/>
              </w:rPr>
              <w:t>BR-010</w:t>
            </w:r>
          </w:p>
        </w:tc>
        <w:tc>
          <w:tcPr>
            <w:tcW w:type="dxa" w:w="5040"/>
            <w:vAlign w:val="center"/>
          </w:tcPr>
          <w:p>
            <w:pPr>
              <w:spacing w:after="0"/>
            </w:pPr>
            <w:r>
              <w:rPr>
                <w:b w:val="0"/>
                <w:sz w:val="18"/>
              </w:rPr>
              <w:t>The system shall maintain an auditable history of signals, risk decisions, orders, executions and position changes.</w:t>
            </w:r>
          </w:p>
        </w:tc>
      </w:tr>
      <w:tr>
        <w:tc>
          <w:tcPr>
            <w:tcW w:type="dxa" w:w="5040"/>
            <w:vAlign w:val="center"/>
          </w:tcPr>
          <w:p>
            <w:pPr>
              <w:spacing w:after="0"/>
            </w:pPr>
            <w:r>
              <w:rPr>
                <w:b w:val="0"/>
                <w:sz w:val="18"/>
              </w:rPr>
              <w:t>BR-011</w:t>
            </w:r>
          </w:p>
        </w:tc>
        <w:tc>
          <w:tcPr>
            <w:tcW w:type="dxa" w:w="5040"/>
            <w:vAlign w:val="center"/>
          </w:tcPr>
          <w:p>
            <w:pPr>
              <w:spacing w:after="0"/>
            </w:pPr>
            <w:r>
              <w:rPr>
                <w:b w:val="0"/>
                <w:sz w:val="18"/>
              </w:rPr>
              <w:t>The system shall support reconciliation between internal trading records and broker/execution records.</w:t>
            </w:r>
          </w:p>
        </w:tc>
      </w:tr>
      <w:tr>
        <w:tc>
          <w:tcPr>
            <w:tcW w:type="dxa" w:w="5040"/>
            <w:vAlign w:val="center"/>
          </w:tcPr>
          <w:p>
            <w:pPr>
              <w:spacing w:after="0"/>
            </w:pPr>
            <w:r>
              <w:rPr>
                <w:b w:val="0"/>
                <w:sz w:val="18"/>
              </w:rPr>
              <w:t>BR-012</w:t>
            </w:r>
          </w:p>
        </w:tc>
        <w:tc>
          <w:tcPr>
            <w:tcW w:type="dxa" w:w="5040"/>
            <w:vAlign w:val="center"/>
          </w:tcPr>
          <w:p>
            <w:pPr>
              <w:spacing w:after="0"/>
            </w:pPr>
            <w:r>
              <w:rPr>
                <w:b w:val="0"/>
                <w:sz w:val="18"/>
              </w:rPr>
              <w:t>The system shall provide operational and performance reporting for authorised users.</w:t>
            </w:r>
          </w:p>
        </w:tc>
      </w:tr>
    </w:tbl>
    <w:p>
      <w:pPr>
        <w:pStyle w:val="Heading1"/>
      </w:pPr>
      <w:r>
        <w:t>9. Initial Strategy Concept</w:t>
      </w:r>
    </w:p>
    <w:p>
      <w:r>
        <w:t>The V1 strategy will use a rule-based intraday trend-following hypothesis. The initial configuration may use EMA 9, EMA 21, RSI 14, volume and ATR. Exact thresholds will be finalized during requirements and strategy-validation activities.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Signal</w:t>
            </w:r>
          </w:p>
        </w:tc>
        <w:tc>
          <w:tcPr>
            <w:tcW w:type="dxa" w:w="5040"/>
            <w:vAlign w:val="center"/>
            <w:shd w:fill="D9EAF7"/>
          </w:tcPr>
          <w:p>
            <w:pPr>
              <w:spacing w:after="0"/>
            </w:pPr>
            <w:r>
              <w:rPr>
                <w:b/>
                <w:sz w:val="18"/>
              </w:rPr>
              <w:t>Illustrative Conditions</w:t>
            </w:r>
          </w:p>
        </w:tc>
      </w:tr>
      <w:tr>
        <w:tc>
          <w:tcPr>
            <w:tcW w:type="dxa" w:w="5040"/>
            <w:vAlign w:val="center"/>
          </w:tcPr>
          <w:p>
            <w:pPr>
              <w:spacing w:after="0"/>
            </w:pPr>
            <w:r>
              <w:rPr>
                <w:b w:val="0"/>
                <w:sz w:val="18"/>
              </w:rPr>
              <w:t>BUY</w:t>
            </w:r>
          </w:p>
        </w:tc>
        <w:tc>
          <w:tcPr>
            <w:tcW w:type="dxa" w:w="5040"/>
            <w:vAlign w:val="center"/>
          </w:tcPr>
          <w:p>
            <w:pPr>
              <w:spacing w:after="0"/>
            </w:pPr>
            <w:r>
              <w:rPr>
                <w:b w:val="0"/>
                <w:sz w:val="18"/>
              </w:rPr>
              <w:t>EMA 9 &gt; EMA 21; RSI &gt; 55; price above EMA 21; volume above configured average.</w:t>
            </w:r>
          </w:p>
        </w:tc>
      </w:tr>
      <w:tr>
        <w:tc>
          <w:tcPr>
            <w:tcW w:type="dxa" w:w="5040"/>
            <w:vAlign w:val="center"/>
          </w:tcPr>
          <w:p>
            <w:pPr>
              <w:spacing w:after="0"/>
            </w:pPr>
            <w:r>
              <w:rPr>
                <w:b w:val="0"/>
                <w:sz w:val="18"/>
              </w:rPr>
              <w:t>SELL</w:t>
            </w:r>
          </w:p>
        </w:tc>
        <w:tc>
          <w:tcPr>
            <w:tcW w:type="dxa" w:w="5040"/>
            <w:vAlign w:val="center"/>
          </w:tcPr>
          <w:p>
            <w:pPr>
              <w:spacing w:after="0"/>
            </w:pPr>
            <w:r>
              <w:rPr>
                <w:b w:val="0"/>
                <w:sz w:val="18"/>
              </w:rPr>
              <w:t>EMA 9 &lt; EMA 21; RSI &lt; 45; price below EMA 21; volume above configured average.</w:t>
            </w:r>
          </w:p>
        </w:tc>
      </w:tr>
      <w:tr>
        <w:tc>
          <w:tcPr>
            <w:tcW w:type="dxa" w:w="5040"/>
            <w:vAlign w:val="center"/>
          </w:tcPr>
          <w:p>
            <w:pPr>
              <w:spacing w:after="0"/>
            </w:pPr>
            <w:r>
              <w:rPr>
                <w:b w:val="0"/>
                <w:sz w:val="18"/>
              </w:rPr>
              <w:t>EXIT</w:t>
            </w:r>
          </w:p>
        </w:tc>
        <w:tc>
          <w:tcPr>
            <w:tcW w:type="dxa" w:w="5040"/>
            <w:vAlign w:val="center"/>
          </w:tcPr>
          <w:p>
            <w:pPr>
              <w:spacing w:after="0"/>
            </w:pPr>
            <w:r>
              <w:rPr>
                <w:b w:val="0"/>
                <w:sz w:val="18"/>
              </w:rPr>
              <w:t>Configured stop-loss, target, strategy reversal or trading-window rule is triggered.</w:t>
            </w:r>
          </w:p>
        </w:tc>
      </w:tr>
    </w:tbl>
    <w:p>
      <w:r>
        <w:t>Important: these conditions are a project hypothesis and not a claim of profitability. They must be validated through backtesting, transaction-cost modelling, slippage assumptions and out-of-sample testing.</w:t>
      </w:r>
    </w:p>
    <w:p>
      <w:pPr>
        <w:pStyle w:val="Heading1"/>
      </w:pPr>
      <w:r>
        <w:t>10. High-Level Process</w:t>
      </w:r>
    </w:p>
    <w:p>
      <w:pPr>
        <w:pStyle w:val="ListNumber"/>
        <w:spacing w:after="20"/>
      </w:pPr>
      <w:r>
        <w:t>Receive market data.</w:t>
      </w:r>
    </w:p>
    <w:p>
      <w:pPr>
        <w:pStyle w:val="ListNumber"/>
        <w:spacing w:after="20"/>
      </w:pPr>
      <w:r>
        <w:t>Validate data freshness and completeness.</w:t>
      </w:r>
    </w:p>
    <w:p>
      <w:pPr>
        <w:pStyle w:val="ListNumber"/>
        <w:spacing w:after="20"/>
      </w:pPr>
      <w:r>
        <w:t>Calculate configured indicators.</w:t>
      </w:r>
    </w:p>
    <w:p>
      <w:pPr>
        <w:pStyle w:val="ListNumber"/>
        <w:spacing w:after="20"/>
      </w:pPr>
      <w:r>
        <w:t>Evaluate strategy conditions.</w:t>
      </w:r>
    </w:p>
    <w:p>
      <w:pPr>
        <w:pStyle w:val="ListNumber"/>
        <w:spacing w:after="20"/>
      </w:pPr>
      <w:r>
        <w:t>Generate BUY/SELL signal when conditions are satisfied.</w:t>
      </w:r>
    </w:p>
    <w:p>
      <w:pPr>
        <w:pStyle w:val="ListNumber"/>
        <w:spacing w:after="20"/>
      </w:pPr>
      <w:r>
        <w:t>Validate signal against risk rules.</w:t>
      </w:r>
    </w:p>
    <w:p>
      <w:pPr>
        <w:pStyle w:val="ListNumber"/>
        <w:spacing w:after="20"/>
      </w:pPr>
      <w:r>
        <w:t>Calculate permitted position size.</w:t>
      </w:r>
    </w:p>
    <w:p>
      <w:pPr>
        <w:pStyle w:val="ListNumber"/>
        <w:spacing w:after="20"/>
      </w:pPr>
      <w:r>
        <w:t>Create and submit order through the broker interface.</w:t>
      </w:r>
    </w:p>
    <w:p>
      <w:pPr>
        <w:pStyle w:val="ListNumber"/>
        <w:spacing w:after="20"/>
      </w:pPr>
      <w:r>
        <w:t>Track order execution status.</w:t>
      </w:r>
    </w:p>
    <w:p>
      <w:pPr>
        <w:pStyle w:val="ListNumber"/>
        <w:spacing w:after="20"/>
      </w:pPr>
      <w:r>
        <w:t>Create/update position only from confirmed execution.</w:t>
      </w:r>
    </w:p>
    <w:p>
      <w:pPr>
        <w:pStyle w:val="ListNumber"/>
        <w:spacing w:after="20"/>
      </w:pPr>
      <w:r>
        <w:t>Monitor exit conditions.</w:t>
      </w:r>
    </w:p>
    <w:p>
      <w:pPr>
        <w:pStyle w:val="ListNumber"/>
        <w:spacing w:after="20"/>
      </w:pPr>
      <w:r>
        <w:t>Close position and calculate P&amp;L.</w:t>
      </w:r>
    </w:p>
    <w:p>
      <w:pPr>
        <w:pStyle w:val="ListNumber"/>
        <w:spacing w:after="20"/>
      </w:pPr>
      <w:r>
        <w:t>Record trade, audit events and reconciliation status.</w:t>
      </w:r>
    </w:p>
    <w:p>
      <w:pPr>
        <w:pStyle w:val="Heading1"/>
      </w:pPr>
      <w:r>
        <w:t>11. Success Criteria</w:t>
      </w:r>
    </w:p>
    <w:p>
      <w:pPr>
        <w:pStyle w:val="ListBullet"/>
        <w:spacing w:after="20"/>
      </w:pPr>
      <w:r>
        <w:t>100% of approved requirements are traceable to functional requirements and test scenarios.</w:t>
      </w:r>
    </w:p>
    <w:p>
      <w:pPr>
        <w:pStyle w:val="ListBullet"/>
        <w:spacing w:after="20"/>
      </w:pPr>
      <w:r>
        <w:t>No order can bypass mandatory risk validation.</w:t>
      </w:r>
    </w:p>
    <w:p>
      <w:pPr>
        <w:pStyle w:val="ListBullet"/>
        <w:spacing w:after="20"/>
      </w:pPr>
      <w:r>
        <w:t>Duplicate order scenarios are prevented or safely handled.</w:t>
      </w:r>
    </w:p>
    <w:p>
      <w:pPr>
        <w:pStyle w:val="ListBullet"/>
        <w:spacing w:after="20"/>
      </w:pPr>
      <w:r>
        <w:t>Order and position states remain traceable from signal to execution.</w:t>
      </w:r>
    </w:p>
    <w:p>
      <w:pPr>
        <w:pStyle w:val="ListBullet"/>
        <w:spacing w:after="20"/>
      </w:pPr>
      <w:r>
        <w:t>Backtesting produces reproducible results using a documented dataset and configuration.</w:t>
      </w:r>
    </w:p>
    <w:p>
      <w:pPr>
        <w:pStyle w:val="ListBullet"/>
        <w:spacing w:after="20"/>
      </w:pPr>
      <w:r>
        <w:t>UAT covers positive, negative and exception scenarios.</w:t>
      </w:r>
    </w:p>
    <w:p>
      <w:pPr>
        <w:pStyle w:val="ListBullet"/>
        <w:spacing w:after="20"/>
      </w:pPr>
      <w:r>
        <w:t>Internal order/position records can be reconciled with broker records.</w:t>
      </w:r>
    </w:p>
    <w:p>
      <w:pPr>
        <w:pStyle w:val="ListBullet"/>
        <w:spacing w:after="20"/>
      </w:pPr>
      <w:r>
        <w:t>Paper trading can be conducted without unrestricted real-money execution.</w:t>
      </w:r>
    </w:p>
    <w:p>
      <w:pPr>
        <w:pStyle w:val="Heading1"/>
      </w:pPr>
      <w:r>
        <w:t>12. Key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Category</w:t>
            </w:r>
          </w:p>
        </w:tc>
        <w:tc>
          <w:tcPr>
            <w:tcW w:type="dxa" w:w="5040"/>
            <w:vAlign w:val="center"/>
            <w:shd w:fill="D9EAF7"/>
          </w:tcPr>
          <w:p>
            <w:pPr>
              <w:spacing w:after="0"/>
            </w:pPr>
            <w:r>
              <w:rPr>
                <w:b/>
                <w:sz w:val="18"/>
              </w:rPr>
              <w:t>Deliverables</w:t>
            </w:r>
          </w:p>
        </w:tc>
      </w:tr>
      <w:tr>
        <w:tc>
          <w:tcPr>
            <w:tcW w:type="dxa" w:w="5040"/>
            <w:vAlign w:val="center"/>
          </w:tcPr>
          <w:p>
            <w:pPr>
              <w:spacing w:after="0"/>
            </w:pPr>
            <w:r>
              <w:rPr>
                <w:b w:val="0"/>
                <w:sz w:val="18"/>
              </w:rPr>
              <w:t>Business Analysis</w:t>
            </w:r>
          </w:p>
        </w:tc>
        <w:tc>
          <w:tcPr>
            <w:tcW w:type="dxa" w:w="5040"/>
            <w:vAlign w:val="center"/>
          </w:tcPr>
          <w:p>
            <w:pPr>
              <w:spacing w:after="0"/>
            </w:pPr>
            <w:r>
              <w:rPr>
                <w:b w:val="0"/>
                <w:sz w:val="18"/>
              </w:rPr>
              <w:t>Project Charter, BRD, FRD, SRS, Business Rules Catalogue, User Stories, Acceptance Criteria</w:t>
            </w:r>
          </w:p>
        </w:tc>
      </w:tr>
      <w:tr>
        <w:tc>
          <w:tcPr>
            <w:tcW w:type="dxa" w:w="5040"/>
            <w:vAlign w:val="center"/>
          </w:tcPr>
          <w:p>
            <w:pPr>
              <w:spacing w:after="0"/>
            </w:pPr>
            <w:r>
              <w:rPr>
                <w:b w:val="0"/>
                <w:sz w:val="18"/>
              </w:rPr>
              <w:t>Process Analysis</w:t>
            </w:r>
          </w:p>
        </w:tc>
        <w:tc>
          <w:tcPr>
            <w:tcW w:type="dxa" w:w="5040"/>
            <w:vAlign w:val="center"/>
          </w:tcPr>
          <w:p>
            <w:pPr>
              <w:spacing w:after="0"/>
            </w:pPr>
            <w:r>
              <w:rPr>
                <w:b w:val="0"/>
                <w:sz w:val="18"/>
              </w:rPr>
              <w:t>AS-IS, TO-BE, process flows, decision flows, exception flows</w:t>
            </w:r>
          </w:p>
        </w:tc>
      </w:tr>
      <w:tr>
        <w:tc>
          <w:tcPr>
            <w:tcW w:type="dxa" w:w="5040"/>
            <w:vAlign w:val="center"/>
          </w:tcPr>
          <w:p>
            <w:pPr>
              <w:spacing w:after="0"/>
            </w:pPr>
            <w:r>
              <w:rPr>
                <w:b w:val="0"/>
                <w:sz w:val="18"/>
              </w:rPr>
              <w:t>Data &amp; Integration</w:t>
            </w:r>
          </w:p>
        </w:tc>
        <w:tc>
          <w:tcPr>
            <w:tcW w:type="dxa" w:w="5040"/>
            <w:vAlign w:val="center"/>
          </w:tcPr>
          <w:p>
            <w:pPr>
              <w:spacing w:after="0"/>
            </w:pPr>
            <w:r>
              <w:rPr>
                <w:b w:val="0"/>
                <w:sz w:val="18"/>
              </w:rPr>
              <w:t>Data Dictionary, ERD, API Requirements, field mappings</w:t>
            </w:r>
          </w:p>
        </w:tc>
      </w:tr>
      <w:tr>
        <w:tc>
          <w:tcPr>
            <w:tcW w:type="dxa" w:w="5040"/>
            <w:vAlign w:val="center"/>
          </w:tcPr>
          <w:p>
            <w:pPr>
              <w:spacing w:after="0"/>
            </w:pPr>
            <w:r>
              <w:rPr>
                <w:b w:val="0"/>
                <w:sz w:val="18"/>
              </w:rPr>
              <w:t>Testing</w:t>
            </w:r>
          </w:p>
        </w:tc>
        <w:tc>
          <w:tcPr>
            <w:tcW w:type="dxa" w:w="5040"/>
            <w:vAlign w:val="center"/>
          </w:tcPr>
          <w:p>
            <w:pPr>
              <w:spacing w:after="0"/>
            </w:pPr>
            <w:r>
              <w:rPr>
                <w:b w:val="0"/>
                <w:sz w:val="18"/>
              </w:rPr>
              <w:t>UAT scenarios, test cases, RTM, defect log</w:t>
            </w:r>
          </w:p>
        </w:tc>
      </w:tr>
      <w:tr>
        <w:tc>
          <w:tcPr>
            <w:tcW w:type="dxa" w:w="5040"/>
            <w:vAlign w:val="center"/>
          </w:tcPr>
          <w:p>
            <w:pPr>
              <w:spacing w:after="0"/>
            </w:pPr>
            <w:r>
              <w:rPr>
                <w:b w:val="0"/>
                <w:sz w:val="18"/>
              </w:rPr>
              <w:t>Technical</w:t>
            </w:r>
          </w:p>
        </w:tc>
        <w:tc>
          <w:tcPr>
            <w:tcW w:type="dxa" w:w="5040"/>
            <w:vAlign w:val="center"/>
          </w:tcPr>
          <w:p>
            <w:pPr>
              <w:spacing w:after="0"/>
            </w:pPr>
            <w:r>
              <w:rPr>
                <w:b w:val="0"/>
                <w:sz w:val="18"/>
              </w:rPr>
              <w:t>Strategy Engine, Risk Engine, Backtesting, API, Database, Dashboard, Reconciliation</w:t>
            </w:r>
          </w:p>
        </w:tc>
      </w:tr>
      <w:tr>
        <w:tc>
          <w:tcPr>
            <w:tcW w:type="dxa" w:w="5040"/>
            <w:vAlign w:val="center"/>
          </w:tcPr>
          <w:p>
            <w:pPr>
              <w:spacing w:after="0"/>
            </w:pPr>
            <w:r>
              <w:rPr>
                <w:b w:val="0"/>
                <w:sz w:val="18"/>
              </w:rPr>
              <w:t>Operations</w:t>
            </w:r>
          </w:p>
        </w:tc>
        <w:tc>
          <w:tcPr>
            <w:tcW w:type="dxa" w:w="5040"/>
            <w:vAlign w:val="center"/>
          </w:tcPr>
          <w:p>
            <w:pPr>
              <w:spacing w:after="0"/>
            </w:pPr>
            <w:r>
              <w:rPr>
                <w:b w:val="0"/>
                <w:sz w:val="18"/>
              </w:rPr>
              <w:t>Audit logs, monitoring requirements, reconciliation workflow, runbook</w:t>
            </w:r>
          </w:p>
        </w:tc>
      </w:tr>
    </w:tbl>
    <w:p>
      <w:pPr>
        <w:pStyle w:val="Heading1"/>
      </w:pPr>
      <w:r>
        <w:t>13. Assumptions</w:t>
      </w:r>
    </w:p>
    <w:p>
      <w:pPr>
        <w:pStyle w:val="ListBullet"/>
        <w:spacing w:after="20"/>
      </w:pPr>
      <w:r>
        <w:t>Required market data is available from a permitted data source.</w:t>
      </w:r>
    </w:p>
    <w:p>
      <w:pPr>
        <w:pStyle w:val="ListBullet"/>
        <w:spacing w:after="20"/>
      </w:pPr>
      <w:r>
        <w:t>The broker provides an API suitable for paper trading and/or controlled integration.</w:t>
      </w:r>
    </w:p>
    <w:p>
      <w:pPr>
        <w:pStyle w:val="ListBullet"/>
        <w:spacing w:after="20"/>
      </w:pPr>
      <w:r>
        <w:t>Trading rules and risk parameters are configurable.</w:t>
      </w:r>
    </w:p>
    <w:p>
      <w:pPr>
        <w:pStyle w:val="ListBullet"/>
        <w:spacing w:after="20"/>
      </w:pPr>
      <w:r>
        <w:t>The V1 system will use a single primary instrument and timeframe.</w:t>
      </w:r>
    </w:p>
    <w:p>
      <w:pPr>
        <w:pStyle w:val="ListBullet"/>
        <w:spacing w:after="20"/>
      </w:pPr>
      <w:r>
        <w:t>Historical data is sufficiently complete for the selected backtesting period.</w:t>
      </w:r>
    </w:p>
    <w:p>
      <w:pPr>
        <w:pStyle w:val="ListBullet"/>
        <w:spacing w:after="20"/>
      </w:pPr>
      <w:r>
        <w:t>Paper trading will be used for validation before any live deployment decision.</w:t>
      </w:r>
    </w:p>
    <w:p>
      <w:pPr>
        <w:pStyle w:val="Heading1"/>
      </w:pPr>
      <w:r>
        <w:t>14. Dependencies</w:t>
      </w:r>
    </w:p>
    <w:p>
      <w:pPr>
        <w:pStyle w:val="ListBullet"/>
        <w:spacing w:after="20"/>
      </w:pPr>
      <w:r>
        <w:t>Market-data provider/API availability.</w:t>
      </w:r>
    </w:p>
    <w:p>
      <w:pPr>
        <w:pStyle w:val="ListBullet"/>
        <w:spacing w:after="20"/>
      </w:pPr>
      <w:r>
        <w:t>Broker API documentation and authentication.</w:t>
      </w:r>
    </w:p>
    <w:p>
      <w:pPr>
        <w:pStyle w:val="ListBullet"/>
        <w:spacing w:after="20"/>
      </w:pPr>
      <w:r>
        <w:t>Historical market-data availability.</w:t>
      </w:r>
    </w:p>
    <w:p>
      <w:pPr>
        <w:pStyle w:val="ListBullet"/>
        <w:spacing w:after="20"/>
      </w:pPr>
      <w:r>
        <w:t>Database and application infrastructure.</w:t>
      </w:r>
    </w:p>
    <w:p>
      <w:pPr>
        <w:pStyle w:val="ListBullet"/>
        <w:spacing w:after="20"/>
      </w:pPr>
      <w:r>
        <w:t>Strategy parameters approved for testing.</w:t>
      </w:r>
    </w:p>
    <w:p>
      <w:pPr>
        <w:pStyle w:val="ListBullet"/>
        <w:spacing w:after="20"/>
      </w:pPr>
      <w:r>
        <w:t>Risk parameters and trading-window configuration.</w:t>
      </w:r>
    </w:p>
    <w:p>
      <w:pPr>
        <w:pStyle w:val="ListBullet"/>
        <w:spacing w:after="20"/>
      </w:pPr>
      <w:r>
        <w:t>Testing environment and paper-trading account.</w:t>
      </w:r>
    </w:p>
    <w:p>
      <w:pPr>
        <w:pStyle w:val="Heading1"/>
      </w:pPr>
      <w:r>
        <w:t>15. Constraints</w:t>
      </w:r>
    </w:p>
    <w:p>
      <w:pPr>
        <w:pStyle w:val="ListBullet"/>
        <w:spacing w:after="20"/>
      </w:pPr>
      <w:r>
        <w:t>V1 is intentionally limited in instrument and strategy scope.</w:t>
      </w:r>
    </w:p>
    <w:p>
      <w:pPr>
        <w:pStyle w:val="ListBullet"/>
        <w:spacing w:after="20"/>
      </w:pPr>
      <w:r>
        <w:t>Market data may have latency, gaps or quality issues.</w:t>
      </w:r>
    </w:p>
    <w:p>
      <w:pPr>
        <w:pStyle w:val="ListBullet"/>
        <w:spacing w:after="20"/>
      </w:pPr>
      <w:r>
        <w:t>Broker API availability may affect execution.</w:t>
      </w:r>
    </w:p>
    <w:p>
      <w:pPr>
        <w:pStyle w:val="ListBullet"/>
        <w:spacing w:after="20"/>
      </w:pPr>
      <w:r>
        <w:t>Backtesting cannot guarantee future performance.</w:t>
      </w:r>
    </w:p>
    <w:p>
      <w:pPr>
        <w:pStyle w:val="ListBullet"/>
        <w:spacing w:after="20"/>
      </w:pPr>
      <w:r>
        <w:t>Slippage, transaction costs and execution conditions can differ between simulation and actual trading.</w:t>
      </w:r>
    </w:p>
    <w:p>
      <w:pPr>
        <w:pStyle w:val="ListBullet"/>
        <w:spacing w:after="20"/>
      </w:pPr>
      <w:r>
        <w:t>Live trading introduces financial and operational risk and is outside the initial project objective.</w:t>
      </w:r>
    </w:p>
    <w:p>
      <w:pPr>
        <w:pStyle w:val="Heading1"/>
      </w:pPr>
      <w:r>
        <w:t>16. Initial Risk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Pr>
                <w:b/>
                <w:sz w:val="18"/>
              </w:rPr>
              <w:t>Risk ID</w:t>
            </w:r>
          </w:p>
        </w:tc>
        <w:tc>
          <w:tcPr>
            <w:tcW w:type="dxa" w:w="2520"/>
            <w:vAlign w:val="center"/>
            <w:shd w:fill="D9EAF7"/>
          </w:tcPr>
          <w:p>
            <w:pPr>
              <w:spacing w:after="0"/>
            </w:pPr>
            <w:r>
              <w:rPr>
                <w:b/>
                <w:sz w:val="18"/>
              </w:rPr>
              <w:t>Risk</w:t>
            </w:r>
          </w:p>
        </w:tc>
        <w:tc>
          <w:tcPr>
            <w:tcW w:type="dxa" w:w="2520"/>
            <w:vAlign w:val="center"/>
            <w:shd w:fill="D9EAF7"/>
          </w:tcPr>
          <w:p>
            <w:pPr>
              <w:spacing w:after="0"/>
            </w:pPr>
            <w:r>
              <w:rPr>
                <w:b/>
                <w:sz w:val="18"/>
              </w:rPr>
              <w:t>Impact</w:t>
            </w:r>
          </w:p>
        </w:tc>
        <w:tc>
          <w:tcPr>
            <w:tcW w:type="dxa" w:w="2520"/>
            <w:vAlign w:val="center"/>
            <w:shd w:fill="D9EAF7"/>
          </w:tcPr>
          <w:p>
            <w:pPr>
              <w:spacing w:after="0"/>
            </w:pPr>
            <w:r>
              <w:rPr>
                <w:b/>
                <w:sz w:val="18"/>
              </w:rPr>
              <w:t>Initial Mitigation</w:t>
            </w:r>
          </w:p>
        </w:tc>
      </w:tr>
      <w:tr>
        <w:tc>
          <w:tcPr>
            <w:tcW w:type="dxa" w:w="2520"/>
            <w:vAlign w:val="center"/>
          </w:tcPr>
          <w:p>
            <w:pPr>
              <w:spacing w:after="0"/>
            </w:pPr>
            <w:r>
              <w:rPr>
                <w:b w:val="0"/>
                <w:sz w:val="18"/>
              </w:rPr>
              <w:t>R-001</w:t>
            </w:r>
          </w:p>
        </w:tc>
        <w:tc>
          <w:tcPr>
            <w:tcW w:type="dxa" w:w="2520"/>
            <w:vAlign w:val="center"/>
          </w:tcPr>
          <w:p>
            <w:pPr>
              <w:spacing w:after="0"/>
            </w:pPr>
            <w:r>
              <w:rPr>
                <w:b w:val="0"/>
                <w:sz w:val="18"/>
              </w:rPr>
              <w:t>Overfitting strategy parameters to historical data</w:t>
            </w:r>
          </w:p>
        </w:tc>
        <w:tc>
          <w:tcPr>
            <w:tcW w:type="dxa" w:w="2520"/>
            <w:vAlign w:val="center"/>
          </w:tcPr>
          <w:p>
            <w:pPr>
              <w:spacing w:after="0"/>
            </w:pPr>
            <w:r>
              <w:rPr>
                <w:b w:val="0"/>
                <w:sz w:val="18"/>
              </w:rPr>
              <w:t>High</w:t>
            </w:r>
          </w:p>
        </w:tc>
        <w:tc>
          <w:tcPr>
            <w:tcW w:type="dxa" w:w="2520"/>
            <w:vAlign w:val="center"/>
          </w:tcPr>
          <w:p>
            <w:pPr>
              <w:spacing w:after="0"/>
            </w:pPr>
            <w:r>
              <w:rPr>
                <w:b w:val="0"/>
                <w:sz w:val="18"/>
              </w:rPr>
              <w:t>Use validation and out-of-sample datasets; limit optimization.</w:t>
            </w:r>
          </w:p>
        </w:tc>
      </w:tr>
      <w:tr>
        <w:tc>
          <w:tcPr>
            <w:tcW w:type="dxa" w:w="2520"/>
            <w:vAlign w:val="center"/>
          </w:tcPr>
          <w:p>
            <w:pPr>
              <w:spacing w:after="0"/>
            </w:pPr>
            <w:r>
              <w:rPr>
                <w:b w:val="0"/>
                <w:sz w:val="18"/>
              </w:rPr>
              <w:t>R-002</w:t>
            </w:r>
          </w:p>
        </w:tc>
        <w:tc>
          <w:tcPr>
            <w:tcW w:type="dxa" w:w="2520"/>
            <w:vAlign w:val="center"/>
          </w:tcPr>
          <w:p>
            <w:pPr>
              <w:spacing w:after="0"/>
            </w:pPr>
            <w:r>
              <w:rPr>
                <w:b w:val="0"/>
                <w:sz w:val="18"/>
              </w:rPr>
              <w:t>Market-data quality or latency issue</w:t>
            </w:r>
          </w:p>
        </w:tc>
        <w:tc>
          <w:tcPr>
            <w:tcW w:type="dxa" w:w="2520"/>
            <w:vAlign w:val="center"/>
          </w:tcPr>
          <w:p>
            <w:pPr>
              <w:spacing w:after="0"/>
            </w:pPr>
            <w:r>
              <w:rPr>
                <w:b w:val="0"/>
                <w:sz w:val="18"/>
              </w:rPr>
              <w:t>High</w:t>
            </w:r>
          </w:p>
        </w:tc>
        <w:tc>
          <w:tcPr>
            <w:tcW w:type="dxa" w:w="2520"/>
            <w:vAlign w:val="center"/>
          </w:tcPr>
          <w:p>
            <w:pPr>
              <w:spacing w:after="0"/>
            </w:pPr>
            <w:r>
              <w:rPr>
                <w:b w:val="0"/>
                <w:sz w:val="18"/>
              </w:rPr>
              <w:t>Data validation, freshness checks and fail-safe behaviour.</w:t>
            </w:r>
          </w:p>
        </w:tc>
      </w:tr>
      <w:tr>
        <w:tc>
          <w:tcPr>
            <w:tcW w:type="dxa" w:w="2520"/>
            <w:vAlign w:val="center"/>
          </w:tcPr>
          <w:p>
            <w:pPr>
              <w:spacing w:after="0"/>
            </w:pPr>
            <w:r>
              <w:rPr>
                <w:b w:val="0"/>
                <w:sz w:val="18"/>
              </w:rPr>
              <w:t>R-003</w:t>
            </w:r>
          </w:p>
        </w:tc>
        <w:tc>
          <w:tcPr>
            <w:tcW w:type="dxa" w:w="2520"/>
            <w:vAlign w:val="center"/>
          </w:tcPr>
          <w:p>
            <w:pPr>
              <w:spacing w:after="0"/>
            </w:pPr>
            <w:r>
              <w:rPr>
                <w:b w:val="0"/>
                <w:sz w:val="18"/>
              </w:rPr>
              <w:t>Broker API failure or timeout</w:t>
            </w:r>
          </w:p>
        </w:tc>
        <w:tc>
          <w:tcPr>
            <w:tcW w:type="dxa" w:w="2520"/>
            <w:vAlign w:val="center"/>
          </w:tcPr>
          <w:p>
            <w:pPr>
              <w:spacing w:after="0"/>
            </w:pPr>
            <w:r>
              <w:rPr>
                <w:b w:val="0"/>
                <w:sz w:val="18"/>
              </w:rPr>
              <w:t>High</w:t>
            </w:r>
          </w:p>
        </w:tc>
        <w:tc>
          <w:tcPr>
            <w:tcW w:type="dxa" w:w="2520"/>
            <w:vAlign w:val="center"/>
          </w:tcPr>
          <w:p>
            <w:pPr>
              <w:spacing w:after="0"/>
            </w:pPr>
            <w:r>
              <w:rPr>
                <w:b w:val="0"/>
                <w:sz w:val="18"/>
              </w:rPr>
              <w:t>Timeout handling, retry policy and reconciliation.</w:t>
            </w:r>
          </w:p>
        </w:tc>
      </w:tr>
      <w:tr>
        <w:tc>
          <w:tcPr>
            <w:tcW w:type="dxa" w:w="2520"/>
            <w:vAlign w:val="center"/>
          </w:tcPr>
          <w:p>
            <w:pPr>
              <w:spacing w:after="0"/>
            </w:pPr>
            <w:r>
              <w:rPr>
                <w:b w:val="0"/>
                <w:sz w:val="18"/>
              </w:rPr>
              <w:t>R-004</w:t>
            </w:r>
          </w:p>
        </w:tc>
        <w:tc>
          <w:tcPr>
            <w:tcW w:type="dxa" w:w="2520"/>
            <w:vAlign w:val="center"/>
          </w:tcPr>
          <w:p>
            <w:pPr>
              <w:spacing w:after="0"/>
            </w:pPr>
            <w:r>
              <w:rPr>
                <w:b w:val="0"/>
                <w:sz w:val="18"/>
              </w:rPr>
              <w:t>Duplicate order generation</w:t>
            </w:r>
          </w:p>
        </w:tc>
        <w:tc>
          <w:tcPr>
            <w:tcW w:type="dxa" w:w="2520"/>
            <w:vAlign w:val="center"/>
          </w:tcPr>
          <w:p>
            <w:pPr>
              <w:spacing w:after="0"/>
            </w:pPr>
            <w:r>
              <w:rPr>
                <w:b w:val="0"/>
                <w:sz w:val="18"/>
              </w:rPr>
              <w:t>High</w:t>
            </w:r>
          </w:p>
        </w:tc>
        <w:tc>
          <w:tcPr>
            <w:tcW w:type="dxa" w:w="2520"/>
            <w:vAlign w:val="center"/>
          </w:tcPr>
          <w:p>
            <w:pPr>
              <w:spacing w:after="0"/>
            </w:pPr>
            <w:r>
              <w:rPr>
                <w:b w:val="0"/>
                <w:sz w:val="18"/>
              </w:rPr>
              <w:t>Idempotency and signal/order uniqueness rules.</w:t>
            </w:r>
          </w:p>
        </w:tc>
      </w:tr>
      <w:tr>
        <w:tc>
          <w:tcPr>
            <w:tcW w:type="dxa" w:w="2520"/>
            <w:vAlign w:val="center"/>
          </w:tcPr>
          <w:p>
            <w:pPr>
              <w:spacing w:after="0"/>
            </w:pPr>
            <w:r>
              <w:rPr>
                <w:b w:val="0"/>
                <w:sz w:val="18"/>
              </w:rPr>
              <w:t>R-005</w:t>
            </w:r>
          </w:p>
        </w:tc>
        <w:tc>
          <w:tcPr>
            <w:tcW w:type="dxa" w:w="2520"/>
            <w:vAlign w:val="center"/>
          </w:tcPr>
          <w:p>
            <w:pPr>
              <w:spacing w:after="0"/>
            </w:pPr>
            <w:r>
              <w:rPr>
                <w:b w:val="0"/>
                <w:sz w:val="18"/>
              </w:rPr>
              <w:t>Incorrect position sizing</w:t>
            </w:r>
          </w:p>
        </w:tc>
        <w:tc>
          <w:tcPr>
            <w:tcW w:type="dxa" w:w="2520"/>
            <w:vAlign w:val="center"/>
          </w:tcPr>
          <w:p>
            <w:pPr>
              <w:spacing w:after="0"/>
            </w:pPr>
            <w:r>
              <w:rPr>
                <w:b w:val="0"/>
                <w:sz w:val="18"/>
              </w:rPr>
              <w:t>High</w:t>
            </w:r>
          </w:p>
        </w:tc>
        <w:tc>
          <w:tcPr>
            <w:tcW w:type="dxa" w:w="2520"/>
            <w:vAlign w:val="center"/>
          </w:tcPr>
          <w:p>
            <w:pPr>
              <w:spacing w:after="0"/>
            </w:pPr>
            <w:r>
              <w:rPr>
                <w:b w:val="0"/>
                <w:sz w:val="18"/>
              </w:rPr>
              <w:t>Pre-order risk validation and independent calculation checks.</w:t>
            </w:r>
          </w:p>
        </w:tc>
      </w:tr>
      <w:tr>
        <w:tc>
          <w:tcPr>
            <w:tcW w:type="dxa" w:w="2520"/>
            <w:vAlign w:val="center"/>
          </w:tcPr>
          <w:p>
            <w:pPr>
              <w:spacing w:after="0"/>
            </w:pPr>
            <w:r>
              <w:rPr>
                <w:b w:val="0"/>
                <w:sz w:val="18"/>
              </w:rPr>
              <w:t>R-006</w:t>
            </w:r>
          </w:p>
        </w:tc>
        <w:tc>
          <w:tcPr>
            <w:tcW w:type="dxa" w:w="2520"/>
            <w:vAlign w:val="center"/>
          </w:tcPr>
          <w:p>
            <w:pPr>
              <w:spacing w:after="0"/>
            </w:pPr>
            <w:r>
              <w:rPr>
                <w:b w:val="0"/>
                <w:sz w:val="18"/>
              </w:rPr>
              <w:t>Mismatch between internal and broker position</w:t>
            </w:r>
          </w:p>
        </w:tc>
        <w:tc>
          <w:tcPr>
            <w:tcW w:type="dxa" w:w="2520"/>
            <w:vAlign w:val="center"/>
          </w:tcPr>
          <w:p>
            <w:pPr>
              <w:spacing w:after="0"/>
            </w:pPr>
            <w:r>
              <w:rPr>
                <w:b w:val="0"/>
                <w:sz w:val="18"/>
              </w:rPr>
              <w:t>High</w:t>
            </w:r>
          </w:p>
        </w:tc>
        <w:tc>
          <w:tcPr>
            <w:tcW w:type="dxa" w:w="2520"/>
            <w:vAlign w:val="center"/>
          </w:tcPr>
          <w:p>
            <w:pPr>
              <w:spacing w:after="0"/>
            </w:pPr>
            <w:r>
              <w:rPr>
                <w:b w:val="0"/>
                <w:sz w:val="18"/>
              </w:rPr>
              <w:t>Scheduled and event-based reconciliation.</w:t>
            </w:r>
          </w:p>
        </w:tc>
      </w:tr>
      <w:tr>
        <w:tc>
          <w:tcPr>
            <w:tcW w:type="dxa" w:w="2520"/>
            <w:vAlign w:val="center"/>
          </w:tcPr>
          <w:p>
            <w:pPr>
              <w:spacing w:after="0"/>
            </w:pPr>
            <w:r>
              <w:rPr>
                <w:b w:val="0"/>
                <w:sz w:val="18"/>
              </w:rPr>
              <w:t>R-007</w:t>
            </w:r>
          </w:p>
        </w:tc>
        <w:tc>
          <w:tcPr>
            <w:tcW w:type="dxa" w:w="2520"/>
            <w:vAlign w:val="center"/>
          </w:tcPr>
          <w:p>
            <w:pPr>
              <w:spacing w:after="0"/>
            </w:pPr>
            <w:r>
              <w:rPr>
                <w:b w:val="0"/>
                <w:sz w:val="18"/>
              </w:rPr>
              <w:t>Unexpected strategy behaviour in live market</w:t>
            </w:r>
          </w:p>
        </w:tc>
        <w:tc>
          <w:tcPr>
            <w:tcW w:type="dxa" w:w="2520"/>
            <w:vAlign w:val="center"/>
          </w:tcPr>
          <w:p>
            <w:pPr>
              <w:spacing w:after="0"/>
            </w:pPr>
            <w:r>
              <w:rPr>
                <w:b w:val="0"/>
                <w:sz w:val="18"/>
              </w:rPr>
              <w:t>High</w:t>
            </w:r>
          </w:p>
        </w:tc>
        <w:tc>
          <w:tcPr>
            <w:tcW w:type="dxa" w:w="2520"/>
            <w:vAlign w:val="center"/>
          </w:tcPr>
          <w:p>
            <w:pPr>
              <w:spacing w:after="0"/>
            </w:pPr>
            <w:r>
              <w:rPr>
                <w:b w:val="0"/>
                <w:sz w:val="18"/>
              </w:rPr>
              <w:t>Backtesting, paper trading and conservative controls.</w:t>
            </w:r>
          </w:p>
        </w:tc>
      </w:tr>
      <w:tr>
        <w:tc>
          <w:tcPr>
            <w:tcW w:type="dxa" w:w="2520"/>
            <w:vAlign w:val="center"/>
          </w:tcPr>
          <w:p>
            <w:pPr>
              <w:spacing w:after="0"/>
            </w:pPr>
            <w:r>
              <w:rPr>
                <w:b w:val="0"/>
                <w:sz w:val="18"/>
              </w:rPr>
              <w:t>R-008</w:t>
            </w:r>
          </w:p>
        </w:tc>
        <w:tc>
          <w:tcPr>
            <w:tcW w:type="dxa" w:w="2520"/>
            <w:vAlign w:val="center"/>
          </w:tcPr>
          <w:p>
            <w:pPr>
              <w:spacing w:after="0"/>
            </w:pPr>
            <w:r>
              <w:rPr>
                <w:b w:val="0"/>
                <w:sz w:val="18"/>
              </w:rPr>
              <w:t>Uncontrolled live execution</w:t>
            </w:r>
          </w:p>
        </w:tc>
        <w:tc>
          <w:tcPr>
            <w:tcW w:type="dxa" w:w="2520"/>
            <w:vAlign w:val="center"/>
          </w:tcPr>
          <w:p>
            <w:pPr>
              <w:spacing w:after="0"/>
            </w:pPr>
            <w:r>
              <w:rPr>
                <w:b w:val="0"/>
                <w:sz w:val="18"/>
              </w:rPr>
              <w:t>High</w:t>
            </w:r>
          </w:p>
        </w:tc>
        <w:tc>
          <w:tcPr>
            <w:tcW w:type="dxa" w:w="2520"/>
            <w:vAlign w:val="center"/>
          </w:tcPr>
          <w:p>
            <w:pPr>
              <w:spacing w:after="0"/>
            </w:pPr>
            <w:r>
              <w:rPr>
                <w:b w:val="0"/>
                <w:sz w:val="18"/>
              </w:rPr>
              <w:t>Paper trading first; explicit live-trading gate and limits.</w:t>
            </w:r>
          </w:p>
        </w:tc>
      </w:tr>
    </w:tbl>
    <w:p>
      <w:pPr>
        <w:pStyle w:val="Heading1"/>
      </w:pPr>
      <w:r>
        <w:t>17. High-Level Non-Functional Expectations</w:t>
      </w:r>
    </w:p>
    <w:p>
      <w:pPr>
        <w:pStyle w:val="ListBullet"/>
        <w:spacing w:after="20"/>
      </w:pPr>
      <w:r>
        <w:t>Reliability: failed integrations should fail safely and create an auditable exception.</w:t>
      </w:r>
    </w:p>
    <w:p>
      <w:pPr>
        <w:pStyle w:val="ListBullet"/>
        <w:spacing w:after="20"/>
      </w:pPr>
      <w:r>
        <w:t>Performance: signal evaluation should complete within the configured decision window.</w:t>
      </w:r>
    </w:p>
    <w:p>
      <w:pPr>
        <w:pStyle w:val="ListBullet"/>
        <w:spacing w:after="20"/>
      </w:pPr>
      <w:r>
        <w:t>Security: credentials and API secrets must not be stored in source code.</w:t>
      </w:r>
    </w:p>
    <w:p>
      <w:pPr>
        <w:pStyle w:val="ListBullet"/>
        <w:spacing w:after="20"/>
      </w:pPr>
      <w:r>
        <w:t>Auditability: material trading decisions must have timestamped records.</w:t>
      </w:r>
    </w:p>
    <w:p>
      <w:pPr>
        <w:pStyle w:val="ListBullet"/>
        <w:spacing w:after="20"/>
      </w:pPr>
      <w:r>
        <w:t>Maintainability: strategy and risk parameters should be configurable rather than hard-coded where practical.</w:t>
      </w:r>
    </w:p>
    <w:p>
      <w:pPr>
        <w:pStyle w:val="ListBullet"/>
        <w:spacing w:after="20"/>
      </w:pPr>
      <w:r>
        <w:t>Scalability: architecture should allow additional strategies/instruments in later versions.</w:t>
      </w:r>
    </w:p>
    <w:p>
      <w:pPr>
        <w:pStyle w:val="ListBullet"/>
        <w:spacing w:after="20"/>
      </w:pPr>
      <w:r>
        <w:t>Availability: critical services should expose health/error status to operations.</w:t>
      </w:r>
    </w:p>
    <w:p>
      <w:pPr>
        <w:pStyle w:val="Heading1"/>
      </w:pPr>
      <w:r>
        <w:t>18. Governance &amp; Approval</w:t>
      </w:r>
    </w:p>
    <w:p>
      <w:r>
        <w:t>This Project Charter establishes the project direction and boundaries. Detailed requirements will be elaborated in the BRD and FRD. Any material change to scope, trading strategy, risk controls or integration approach should be documented through the project's change-management process.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t>Approval Role</w:t>
            </w:r>
          </w:p>
        </w:tc>
        <w:tc>
          <w:tcPr>
            <w:tcW w:type="dxa" w:w="3360"/>
            <w:vAlign w:val="center"/>
            <w:shd w:fill="D9EAF7"/>
          </w:tcPr>
          <w:p>
            <w:pPr>
              <w:spacing w:after="0"/>
            </w:pPr>
            <w:r>
              <w:rPr>
                <w:b/>
                <w:sz w:val="18"/>
              </w:rPr>
              <w:t>Approval Responsibility</w:t>
            </w:r>
          </w:p>
        </w:tc>
        <w:tc>
          <w:tcPr>
            <w:tcW w:type="dxa" w:w="3360"/>
            <w:vAlign w:val="center"/>
            <w:shd w:fill="D9EAF7"/>
          </w:tcPr>
          <w:p>
            <w:pPr>
              <w:spacing w:after="0"/>
            </w:pPr>
            <w:r>
              <w:rPr>
                <w:b/>
                <w:sz w:val="18"/>
              </w:rPr>
              <w:t>Status</w:t>
            </w:r>
          </w:p>
        </w:tc>
      </w:tr>
      <w:tr>
        <w:tc>
          <w:tcPr>
            <w:tcW w:type="dxa" w:w="3360"/>
            <w:vAlign w:val="center"/>
          </w:tcPr>
          <w:p>
            <w:pPr>
              <w:spacing w:after="0"/>
            </w:pPr>
            <w:r>
              <w:rPr>
                <w:b w:val="0"/>
                <w:sz w:val="18"/>
              </w:rPr>
              <w:t>Business Owner / Trader</w:t>
            </w:r>
          </w:p>
        </w:tc>
        <w:tc>
          <w:tcPr>
            <w:tcW w:type="dxa" w:w="3360"/>
            <w:vAlign w:val="center"/>
          </w:tcPr>
          <w:p>
            <w:pPr>
              <w:spacing w:after="0"/>
            </w:pPr>
            <w:r>
              <w:rPr>
                <w:b w:val="0"/>
                <w:sz w:val="18"/>
              </w:rPr>
              <w:t>Approve business objective, scope and trading workflow.</w:t>
            </w:r>
          </w:p>
        </w:tc>
        <w:tc>
          <w:tcPr>
            <w:tcW w:type="dxa" w:w="3360"/>
            <w:vAlign w:val="center"/>
          </w:tcPr>
          <w:p>
            <w:pPr>
              <w:spacing w:after="0"/>
            </w:pPr>
            <w:r>
              <w:rPr>
                <w:b w:val="0"/>
                <w:sz w:val="18"/>
              </w:rPr>
              <w:t>Pending</w:t>
            </w:r>
          </w:p>
        </w:tc>
      </w:tr>
      <w:tr>
        <w:tc>
          <w:tcPr>
            <w:tcW w:type="dxa" w:w="3360"/>
            <w:vAlign w:val="center"/>
          </w:tcPr>
          <w:p>
            <w:pPr>
              <w:spacing w:after="0"/>
            </w:pPr>
            <w:r>
              <w:rPr>
                <w:b w:val="0"/>
                <w:sz w:val="18"/>
              </w:rPr>
              <w:t>Risk Owner</w:t>
            </w:r>
          </w:p>
        </w:tc>
        <w:tc>
          <w:tcPr>
            <w:tcW w:type="dxa" w:w="3360"/>
            <w:vAlign w:val="center"/>
          </w:tcPr>
          <w:p>
            <w:pPr>
              <w:spacing w:after="0"/>
            </w:pPr>
            <w:r>
              <w:rPr>
                <w:b w:val="0"/>
                <w:sz w:val="18"/>
              </w:rPr>
              <w:t>Approve risk-control requirements.</w:t>
            </w:r>
          </w:p>
        </w:tc>
        <w:tc>
          <w:tcPr>
            <w:tcW w:type="dxa" w:w="3360"/>
            <w:vAlign w:val="center"/>
          </w:tcPr>
          <w:p>
            <w:pPr>
              <w:spacing w:after="0"/>
            </w:pPr>
            <w:r>
              <w:rPr>
                <w:b w:val="0"/>
                <w:sz w:val="18"/>
              </w:rPr>
              <w:t>Pending</w:t>
            </w:r>
          </w:p>
        </w:tc>
      </w:tr>
      <w:tr>
        <w:tc>
          <w:tcPr>
            <w:tcW w:type="dxa" w:w="3360"/>
            <w:vAlign w:val="center"/>
          </w:tcPr>
          <w:p>
            <w:pPr>
              <w:spacing w:after="0"/>
            </w:pPr>
            <w:r>
              <w:rPr>
                <w:b w:val="0"/>
                <w:sz w:val="18"/>
              </w:rPr>
              <w:t>Business Analyst</w:t>
            </w:r>
          </w:p>
        </w:tc>
        <w:tc>
          <w:tcPr>
            <w:tcW w:type="dxa" w:w="3360"/>
            <w:vAlign w:val="center"/>
          </w:tcPr>
          <w:p>
            <w:pPr>
              <w:spacing w:after="0"/>
            </w:pPr>
            <w:r>
              <w:rPr>
                <w:b w:val="0"/>
                <w:sz w:val="18"/>
              </w:rPr>
              <w:t>Confirm requirements baseline and traceability.</w:t>
            </w:r>
          </w:p>
        </w:tc>
        <w:tc>
          <w:tcPr>
            <w:tcW w:type="dxa" w:w="3360"/>
            <w:vAlign w:val="center"/>
          </w:tcPr>
          <w:p>
            <w:pPr>
              <w:spacing w:after="0"/>
            </w:pPr>
            <w:r>
              <w:rPr>
                <w:b w:val="0"/>
                <w:sz w:val="18"/>
              </w:rPr>
              <w:t>Pending</w:t>
            </w:r>
          </w:p>
        </w:tc>
      </w:tr>
      <w:tr>
        <w:tc>
          <w:tcPr>
            <w:tcW w:type="dxa" w:w="3360"/>
            <w:vAlign w:val="center"/>
          </w:tcPr>
          <w:p>
            <w:pPr>
              <w:spacing w:after="0"/>
            </w:pPr>
            <w:r>
              <w:rPr>
                <w:b w:val="0"/>
                <w:sz w:val="18"/>
              </w:rPr>
              <w:t>Technical Lead / Developer</w:t>
            </w:r>
          </w:p>
        </w:tc>
        <w:tc>
          <w:tcPr>
            <w:tcW w:type="dxa" w:w="3360"/>
            <w:vAlign w:val="center"/>
          </w:tcPr>
          <w:p>
            <w:pPr>
              <w:spacing w:after="0"/>
            </w:pPr>
            <w:r>
              <w:rPr>
                <w:b w:val="0"/>
                <w:sz w:val="18"/>
              </w:rPr>
              <w:t>Confirm technical feasibility and architecture assumptions.</w:t>
            </w:r>
          </w:p>
        </w:tc>
        <w:tc>
          <w:tcPr>
            <w:tcW w:type="dxa" w:w="3360"/>
            <w:vAlign w:val="center"/>
          </w:tcPr>
          <w:p>
            <w:pPr>
              <w:spacing w:after="0"/>
            </w:pPr>
            <w:r>
              <w:rPr>
                <w:b w:val="0"/>
                <w:sz w:val="18"/>
              </w:rPr>
              <w:t>Pending</w:t>
            </w:r>
          </w:p>
        </w:tc>
      </w:tr>
    </w:tbl>
    <w:p>
      <w:pPr>
        <w:pStyle w:val="Heading1"/>
      </w:pPr>
      <w:r>
        <w:t>19. High-Level Milestones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t>Milestone</w:t>
            </w:r>
          </w:p>
        </w:tc>
        <w:tc>
          <w:tcPr>
            <w:tcW w:type="dxa" w:w="5040"/>
            <w:vAlign w:val="center"/>
            <w:shd w:fill="D9EAF7"/>
          </w:tcPr>
          <w:p>
            <w:pPr>
              <w:spacing w:after="0"/>
            </w:pPr>
            <w:r>
              <w:rPr>
                <w:b/>
                <w:sz w:val="18"/>
              </w:rPr>
              <w:t>Output</w:t>
            </w:r>
          </w:p>
        </w:tc>
      </w:tr>
      <w:tr>
        <w:tc>
          <w:tcPr>
            <w:tcW w:type="dxa" w:w="5040"/>
            <w:vAlign w:val="center"/>
          </w:tcPr>
          <w:p>
            <w:pPr>
              <w:spacing w:after="0"/>
            </w:pPr>
            <w:r>
              <w:rPr>
                <w:b w:val="0"/>
                <w:sz w:val="18"/>
              </w:rPr>
              <w:t>M1 – Charter Approval</w:t>
            </w:r>
          </w:p>
        </w:tc>
        <w:tc>
          <w:tcPr>
            <w:tcW w:type="dxa" w:w="5040"/>
            <w:vAlign w:val="center"/>
          </w:tcPr>
          <w:p>
            <w:pPr>
              <w:spacing w:after="0"/>
            </w:pPr>
            <w:r>
              <w:rPr>
                <w:b w:val="0"/>
                <w:sz w:val="18"/>
              </w:rPr>
              <w:t>Approved Project Charter</w:t>
            </w:r>
          </w:p>
        </w:tc>
      </w:tr>
      <w:tr>
        <w:tc>
          <w:tcPr>
            <w:tcW w:type="dxa" w:w="5040"/>
            <w:vAlign w:val="center"/>
          </w:tcPr>
          <w:p>
            <w:pPr>
              <w:spacing w:after="0"/>
            </w:pPr>
            <w:r>
              <w:rPr>
                <w:b w:val="0"/>
                <w:sz w:val="18"/>
              </w:rPr>
              <w:t>M2 – Requirements Baseline</w:t>
            </w:r>
          </w:p>
        </w:tc>
        <w:tc>
          <w:tcPr>
            <w:tcW w:type="dxa" w:w="5040"/>
            <w:vAlign w:val="center"/>
          </w:tcPr>
          <w:p>
            <w:pPr>
              <w:spacing w:after="0"/>
            </w:pPr>
            <w:r>
              <w:rPr>
                <w:b w:val="0"/>
                <w:sz w:val="18"/>
              </w:rPr>
              <w:t>BRD / Business Requirements</w:t>
            </w:r>
          </w:p>
        </w:tc>
      </w:tr>
      <w:tr>
        <w:tc>
          <w:tcPr>
            <w:tcW w:type="dxa" w:w="5040"/>
            <w:vAlign w:val="center"/>
          </w:tcPr>
          <w:p>
            <w:pPr>
              <w:spacing w:after="0"/>
            </w:pPr>
            <w:r>
              <w:rPr>
                <w:b w:val="0"/>
                <w:sz w:val="18"/>
              </w:rPr>
              <w:t>M3 – Functional Design</w:t>
            </w:r>
          </w:p>
        </w:tc>
        <w:tc>
          <w:tcPr>
            <w:tcW w:type="dxa" w:w="5040"/>
            <w:vAlign w:val="center"/>
          </w:tcPr>
          <w:p>
            <w:pPr>
              <w:spacing w:after="0"/>
            </w:pPr>
            <w:r>
              <w:rPr>
                <w:b w:val="0"/>
                <w:sz w:val="18"/>
              </w:rPr>
              <w:t>FRD, process flows, user stories, acceptance criteria</w:t>
            </w:r>
          </w:p>
        </w:tc>
      </w:tr>
      <w:tr>
        <w:tc>
          <w:tcPr>
            <w:tcW w:type="dxa" w:w="5040"/>
            <w:vAlign w:val="center"/>
          </w:tcPr>
          <w:p>
            <w:pPr>
              <w:spacing w:after="0"/>
            </w:pPr>
            <w:r>
              <w:rPr>
                <w:b w:val="0"/>
                <w:sz w:val="18"/>
              </w:rPr>
              <w:t>M4 – Technical Design</w:t>
            </w:r>
          </w:p>
        </w:tc>
        <w:tc>
          <w:tcPr>
            <w:tcW w:type="dxa" w:w="5040"/>
            <w:vAlign w:val="center"/>
          </w:tcPr>
          <w:p>
            <w:pPr>
              <w:spacing w:after="0"/>
            </w:pPr>
            <w:r>
              <w:rPr>
                <w:b w:val="0"/>
                <w:sz w:val="18"/>
              </w:rPr>
              <w:t>Architecture, ERD, data dictionary, API requirements</w:t>
            </w:r>
          </w:p>
        </w:tc>
      </w:tr>
      <w:tr>
        <w:tc>
          <w:tcPr>
            <w:tcW w:type="dxa" w:w="5040"/>
            <w:vAlign w:val="center"/>
          </w:tcPr>
          <w:p>
            <w:pPr>
              <w:spacing w:after="0"/>
            </w:pPr>
            <w:r>
              <w:rPr>
                <w:b w:val="0"/>
                <w:sz w:val="18"/>
              </w:rPr>
              <w:t>M5 – Strategy Prototype</w:t>
            </w:r>
          </w:p>
        </w:tc>
        <w:tc>
          <w:tcPr>
            <w:tcW w:type="dxa" w:w="5040"/>
            <w:vAlign w:val="center"/>
          </w:tcPr>
          <w:p>
            <w:pPr>
              <w:spacing w:after="0"/>
            </w:pPr>
            <w:r>
              <w:rPr>
                <w:b w:val="0"/>
                <w:sz w:val="18"/>
              </w:rPr>
              <w:t>Initial strategy engine and backtesting</w:t>
            </w:r>
          </w:p>
        </w:tc>
      </w:tr>
      <w:tr>
        <w:tc>
          <w:tcPr>
            <w:tcW w:type="dxa" w:w="5040"/>
            <w:vAlign w:val="center"/>
          </w:tcPr>
          <w:p>
            <w:pPr>
              <w:spacing w:after="0"/>
            </w:pPr>
            <w:r>
              <w:rPr>
                <w:b w:val="0"/>
                <w:sz w:val="18"/>
              </w:rPr>
              <w:t>M6 – Risk &amp; Order Modules</w:t>
            </w:r>
          </w:p>
        </w:tc>
        <w:tc>
          <w:tcPr>
            <w:tcW w:type="dxa" w:w="5040"/>
            <w:vAlign w:val="center"/>
          </w:tcPr>
          <w:p>
            <w:pPr>
              <w:spacing w:after="0"/>
            </w:pPr>
            <w:r>
              <w:rPr>
                <w:b w:val="0"/>
                <w:sz w:val="18"/>
              </w:rPr>
              <w:t>Risk validation and order lifecycle</w:t>
            </w:r>
          </w:p>
        </w:tc>
      </w:tr>
      <w:tr>
        <w:tc>
          <w:tcPr>
            <w:tcW w:type="dxa" w:w="5040"/>
            <w:vAlign w:val="center"/>
          </w:tcPr>
          <w:p>
            <w:pPr>
              <w:spacing w:after="0"/>
            </w:pPr>
            <w:r>
              <w:rPr>
                <w:b w:val="0"/>
                <w:sz w:val="18"/>
              </w:rPr>
              <w:t>M7 – Integration</w:t>
            </w:r>
          </w:p>
        </w:tc>
        <w:tc>
          <w:tcPr>
            <w:tcW w:type="dxa" w:w="5040"/>
            <w:vAlign w:val="center"/>
          </w:tcPr>
          <w:p>
            <w:pPr>
              <w:spacing w:after="0"/>
            </w:pPr>
            <w:r>
              <w:rPr>
                <w:b w:val="0"/>
                <w:sz w:val="18"/>
              </w:rPr>
              <w:t>Broker/paper-trading integration</w:t>
            </w:r>
          </w:p>
        </w:tc>
      </w:tr>
      <w:tr>
        <w:tc>
          <w:tcPr>
            <w:tcW w:type="dxa" w:w="5040"/>
            <w:vAlign w:val="center"/>
          </w:tcPr>
          <w:p>
            <w:pPr>
              <w:spacing w:after="0"/>
            </w:pPr>
            <w:r>
              <w:rPr>
                <w:b w:val="0"/>
                <w:sz w:val="18"/>
              </w:rPr>
              <w:t>M8 – UAT</w:t>
            </w:r>
          </w:p>
        </w:tc>
        <w:tc>
          <w:tcPr>
            <w:tcW w:type="dxa" w:w="5040"/>
            <w:vAlign w:val="center"/>
          </w:tcPr>
          <w:p>
            <w:pPr>
              <w:spacing w:after="0"/>
            </w:pPr>
            <w:r>
              <w:rPr>
                <w:b w:val="0"/>
                <w:sz w:val="18"/>
              </w:rPr>
              <w:t>Executed UAT and defect closure</w:t>
            </w:r>
          </w:p>
        </w:tc>
      </w:tr>
      <w:tr>
        <w:tc>
          <w:tcPr>
            <w:tcW w:type="dxa" w:w="5040"/>
            <w:vAlign w:val="center"/>
          </w:tcPr>
          <w:p>
            <w:pPr>
              <w:spacing w:after="0"/>
            </w:pPr>
            <w:r>
              <w:rPr>
                <w:b w:val="0"/>
                <w:sz w:val="18"/>
              </w:rPr>
              <w:t>M9 – Readiness</w:t>
            </w:r>
          </w:p>
        </w:tc>
        <w:tc>
          <w:tcPr>
            <w:tcW w:type="dxa" w:w="5040"/>
            <w:vAlign w:val="center"/>
          </w:tcPr>
          <w:p>
            <w:pPr>
              <w:spacing w:after="0"/>
            </w:pPr>
            <w:r>
              <w:rPr>
                <w:b w:val="0"/>
                <w:sz w:val="18"/>
              </w:rPr>
              <w:t>Audit, reconciliation, dashboard and documentation</w:t>
            </w:r>
          </w:p>
        </w:tc>
      </w:tr>
    </w:tbl>
    <w:p>
      <w:pPr>
        <w:pStyle w:val="Heading1"/>
      </w:pPr>
      <w:r>
        <w:t>20. Definition of Done for Project Charter</w:t>
      </w:r>
    </w:p>
    <w:p>
      <w:pPr>
        <w:pStyle w:val="ListBullet"/>
        <w:spacing w:after="20"/>
      </w:pPr>
      <w:r>
        <w:t>Business problem and objectives are clearly documented.</w:t>
      </w:r>
    </w:p>
    <w:p>
      <w:pPr>
        <w:pStyle w:val="ListBullet"/>
        <w:spacing w:after="20"/>
      </w:pPr>
      <w:r>
        <w:t>Scope and out-of-scope boundaries are agreed.</w:t>
      </w:r>
    </w:p>
    <w:p>
      <w:pPr>
        <w:pStyle w:val="ListBullet"/>
        <w:spacing w:after="20"/>
      </w:pPr>
      <w:r>
        <w:t>Stakeholders and responsibilities are identified.</w:t>
      </w:r>
    </w:p>
    <w:p>
      <w:pPr>
        <w:pStyle w:val="ListBullet"/>
        <w:spacing w:after="20"/>
      </w:pPr>
      <w:r>
        <w:t>High-level business requirements are documented.</w:t>
      </w:r>
    </w:p>
    <w:p>
      <w:pPr>
        <w:pStyle w:val="ListBullet"/>
        <w:spacing w:after="20"/>
      </w:pPr>
      <w:r>
        <w:t>Initial solution and process are understood.</w:t>
      </w:r>
    </w:p>
    <w:p>
      <w:pPr>
        <w:pStyle w:val="ListBullet"/>
        <w:spacing w:after="20"/>
      </w:pPr>
      <w:r>
        <w:t>Assumptions, dependencies, constraints and risks are captured.</w:t>
      </w:r>
    </w:p>
    <w:p>
      <w:pPr>
        <w:pStyle w:val="ListBullet"/>
        <w:spacing w:after="20"/>
      </w:pPr>
      <w:r>
        <w:t>Success criteria and high-level milestones are defined.</w:t>
      </w:r>
    </w:p>
    <w:p>
      <w:pPr>
        <w:pStyle w:val="ListBullet"/>
        <w:spacing w:after="20"/>
      </w:pPr>
      <w:r>
        <w:t>Business and technical approval responsibilities are identified.</w:t>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Pr>
                <w:b/>
                <w:sz w:val="18"/>
              </w:rPr>
              <w:t>Version</w:t>
            </w:r>
          </w:p>
        </w:tc>
        <w:tc>
          <w:tcPr>
            <w:tcW w:type="dxa" w:w="2520"/>
            <w:vAlign w:val="center"/>
            <w:shd w:fill="D9EAF7"/>
          </w:tcPr>
          <w:p>
            <w:pPr>
              <w:spacing w:after="0"/>
            </w:pPr>
            <w:r>
              <w:rPr>
                <w:b/>
                <w:sz w:val="18"/>
              </w:rPr>
              <w:t>Date</w:t>
            </w:r>
          </w:p>
        </w:tc>
        <w:tc>
          <w:tcPr>
            <w:tcW w:type="dxa" w:w="2520"/>
            <w:vAlign w:val="center"/>
            <w:shd w:fill="D9EAF7"/>
          </w:tcPr>
          <w:p>
            <w:pPr>
              <w:spacing w:after="0"/>
            </w:pPr>
            <w:r>
              <w:rPr>
                <w:b/>
                <w:sz w:val="18"/>
              </w:rPr>
              <w:t>Author</w:t>
            </w:r>
          </w:p>
        </w:tc>
        <w:tc>
          <w:tcPr>
            <w:tcW w:type="dxa" w:w="2520"/>
            <w:vAlign w:val="center"/>
            <w:shd w:fill="D9EAF7"/>
          </w:tcPr>
          <w:p>
            <w:pPr>
              <w:spacing w:after="0"/>
            </w:pPr>
            <w:r>
              <w:rPr>
                <w:b/>
                <w:sz w:val="18"/>
              </w:rPr>
              <w:t>Change Description</w:t>
            </w:r>
          </w:p>
        </w:tc>
      </w:tr>
      <w:tr>
        <w:tc>
          <w:tcPr>
            <w:tcW w:type="dxa" w:w="2520"/>
            <w:vAlign w:val="center"/>
          </w:tcPr>
          <w:p>
            <w:pPr>
              <w:spacing w:after="0"/>
            </w:pPr>
            <w:r>
              <w:rPr>
                <w:b w:val="0"/>
                <w:sz w:val="18"/>
              </w:rPr>
              <w:t>1.0</w:t>
            </w:r>
          </w:p>
        </w:tc>
        <w:tc>
          <w:tcPr>
            <w:tcW w:type="dxa" w:w="2520"/>
            <w:vAlign w:val="center"/>
          </w:tcPr>
          <w:p>
            <w:pPr>
              <w:spacing w:after="0"/>
            </w:pPr>
            <w:r>
              <w:rPr>
                <w:b w:val="0"/>
                <w:sz w:val="18"/>
              </w:rPr>
              <w:t>08-Aug-2026</w:t>
            </w:r>
          </w:p>
        </w:tc>
        <w:tc>
          <w:tcPr>
            <w:tcW w:type="dxa" w:w="2520"/>
            <w:vAlign w:val="center"/>
          </w:tcPr>
          <w:p>
            <w:pPr>
              <w:spacing w:after="0"/>
            </w:pPr>
            <w:r>
              <w:rPr>
                <w:b w:val="0"/>
                <w:sz w:val="18"/>
              </w:rPr>
              <w:t>Business Analyst</w:t>
            </w:r>
          </w:p>
        </w:tc>
        <w:tc>
          <w:tcPr>
            <w:tcW w:type="dxa" w:w="2520"/>
            <w:vAlign w:val="center"/>
          </w:tcPr>
          <w:p>
            <w:pPr>
              <w:spacing w:after="0"/>
            </w:pPr>
            <w:r>
              <w:rPr>
                <w:b w:val="0"/>
                <w:sz w:val="18"/>
              </w:rPr>
              <w:t>Initial Project Charter created.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ATOMS-PC-001 | Project Charter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