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72"/>
        </w:rPr>
        <w:t>LUMINA v3</w:t>
      </w:r>
    </w:p>
    <w:p>
      <w:pPr>
        <w:jc w:val="center"/>
      </w:pPr>
      <w:r>
        <w:rPr>
          <w:color w:val="505050"/>
          <w:sz w:val="32"/>
        </w:rPr>
        <w:t>Multi-Modal, Sun-Angle, and Scale-Invariant Image Correspondence</w:t>
        <w:br/>
        <w:t>for Chandrayaan-2 Lunar Surface Exploration</w:t>
      </w:r>
    </w:p>
    <w:p/>
    <w:p>
      <w:pPr>
        <w:jc w:val="center"/>
      </w:pPr>
      <w:r>
        <w:rPr>
          <w:color w:val="0070C0"/>
        </w:rPr>
        <w:t>━━━━━━━━━━━━━━━━━━━━━━━━━━━━━━━━━━━━━━━━</w:t>
      </w:r>
    </w:p>
    <w:p/>
    <w:p>
      <w:pPr>
        <w:jc w:val="center"/>
      </w:pPr>
      <w:r>
        <w:rPr>
          <w:b/>
          <w:sz w:val="24"/>
        </w:rPr>
        <w:t>Smart India Hackathon 2026 — Problem Statement SIH26166</w:t>
        <w:br/>
      </w:r>
      <w:r>
        <w:br/>
      </w:r>
      <w:r>
        <w:rPr>
          <w:i/>
          <w:sz w:val="24"/>
        </w:rPr>
        <w:t>Team StormBreaker — Represented by LumaInit</w:t>
        <w:br/>
      </w:r>
      <w:r>
        <w:br/>
      </w:r>
      <w:r>
        <w:rPr>
          <w:color w:val="646464"/>
          <w:sz w:val="22"/>
        </w:rPr>
        <w:t>Indian Space Research Organisation (ISRO) × Hack2skill</w:t>
        <w:br/>
      </w:r>
      <w:r>
        <w:br/>
        <w:br/>
      </w:r>
      <w:r>
        <w:rPr>
          <w:color w:val="787878"/>
          <w:sz w:val="22"/>
        </w:rPr>
        <w:t>September 2026</w:t>
      </w:r>
    </w:p>
    <w:p>
      <w:r>
        <w:br w:type="page"/>
      </w:r>
    </w:p>
    <w:p>
      <w:pPr>
        <w:pStyle w:val="Heading1"/>
      </w:pPr>
      <w:r>
        <w:rPr>
          <w:color w:val="003366"/>
        </w:rPr>
        <w:t>Abstract</w:t>
      </w:r>
    </w:p>
    <w:p>
      <w:pPr>
        <w:spacing w:after="120" w:line="320" w:lineRule="exact"/>
      </w:pPr>
      <w:r>
        <w:rPr>
          <w:b w:val="0"/>
          <w:i w:val="0"/>
          <w:sz w:val="22"/>
        </w:rPr>
        <w:t>The co-registration of multi-modal optical imagery from India's Chandrayaan-2 orbiter remains a formidable challenge in planetary remote sensing. The Terrain Mapping Camera (TMC, 5 m/px), Orbiter High Resolution Camera (OHRC, 0.25 m/px), and Imaging Infrared Spectrometer (IIRS, ~80 m/px) capture overlapping regions of the lunar surface at vastly different spatial resolutions, spectral bands, and solar illumination geometries. Traditional feature-based registration methods (e.g., SIFT, ORB) degrade rapidly under these combined scale, radiometric, and photometric disparities.</w:t>
      </w:r>
    </w:p>
    <w:p>
      <w:pPr>
        <w:spacing w:after="120" w:line="320" w:lineRule="exact"/>
      </w:pPr>
      <w:r>
        <w:rPr>
          <w:b w:val="0"/>
          <w:i w:val="0"/>
          <w:sz w:val="22"/>
        </w:rPr>
        <w:t>This paper presents Lumina v3, an integrated AI-first framework that addresses multi-modal, sun-angle-invariant, and scale-invariant image correspondence through three tightly coupled innovations: (1) a detector-free deep feature matching pipeline based on the Local Feature Transformer (LoFTR), trained to produce robust tie-points surviving the 20× scale difference between TMC and OHRC; (2) a DEM-driven solar illumination normalization module that ray-traces the TMC Digital Elevation Model to simulate and compensate for extreme shadow variations at the lunar South Pole; and (3) an interactive 3D Lunar Digital Twin built with WebGL (Three.js) and Next.js that enables real-time visualization of co-registered data, autonomous rover swarm simulation, and mission-critical survival physics at Faustini Crater.</w:t>
      </w:r>
    </w:p>
    <w:p>
      <w:pPr>
        <w:spacing w:after="120" w:line="320" w:lineRule="exact"/>
      </w:pPr>
      <w:r>
        <w:rPr>
          <w:b w:val="0"/>
          <w:i/>
          <w:sz w:val="22"/>
        </w:rPr>
        <w:t>We further integrate a Random Forest classifier operating on synthetic Dual-Frequency SAR (DFSAR) polarimetry features (Circular Polarization Ratio, Degree of Polarization, and thermal inertia proxies) to predict sub-surface water-ice probability, achieving 94% classification accuracy on our curated benchmark. The entire pipeline — from raw data ingestion to interactive 3D exploration — is publicly deployed and independently verifiable.</w:t>
      </w:r>
    </w:p>
    <w:p>
      <w:pPr>
        <w:pStyle w:val="Heading1"/>
      </w:pPr>
      <w:r>
        <w:rPr>
          <w:color w:val="003366"/>
        </w:rPr>
        <w:t>1. Introduction</w:t>
      </w:r>
    </w:p>
    <w:p>
      <w:pPr>
        <w:spacing w:after="120" w:line="320" w:lineRule="exact"/>
      </w:pPr>
      <w:r>
        <w:rPr>
          <w:b w:val="0"/>
          <w:i w:val="0"/>
          <w:sz w:val="22"/>
        </w:rPr>
        <w:t>India's Chandrayaan-2 mission, launched on 22 July 2019, placed an orbiter carrying eight scientific payloads into a 100 km circular polar orbit around the Moon. Among these, the TMC provides 5 m/pixel panchromatic imagery for terrain mapping, the OHRC delivers 0.25 m/pixel imagery for landing site characterization, and the IIRS captures hyperspectral data in the 0.8–5.0 μm range for mineralogical studies. While each instrument independently produces high-value science products, the fusion of these heterogeneous datasets into a single, spatially coherent reference frame is essential for downstream applications such as precision landing, rover traverse planning, and in-situ resource utilization (ISRU) at permanently shadowed regions (PSRs).</w:t>
      </w:r>
    </w:p>
    <w:p>
      <w:pPr>
        <w:pStyle w:val="Heading2"/>
      </w:pPr>
      <w:r>
        <w:rPr>
          <w:color w:val="003366"/>
        </w:rPr>
        <w:t>1.1 Problem Statement (SIH26166)</w:t>
      </w:r>
    </w:p>
    <w:p>
      <w:pPr>
        <w:spacing w:after="120" w:line="320" w:lineRule="exact"/>
      </w:pPr>
      <w:r>
        <w:rPr>
          <w:b w:val="0"/>
          <w:i w:val="0"/>
          <w:sz w:val="22"/>
        </w:rPr>
        <w:t>The official problem statement requires: "Multi-modal, Sun angle and scale invariant image correspondence using Chandrayaan-2 optical images (OHRC, TMC and IIRS)." The fundamental challenges are threefold:</w:t>
      </w:r>
    </w:p>
    <w:p>
      <w:pPr>
        <w:pStyle w:val="ListBullet"/>
        <w:spacing w:after="60"/>
      </w:pPr>
      <w:r>
        <w:rPr>
          <w:b/>
        </w:rPr>
        <w:t>Scale Invariance:</w:t>
      </w:r>
      <w:r>
        <w:t xml:space="preserve"> OHRC (0.25 m/px) vs TMC (5 m/px) represents a 20× resolution disparity, causing classical scale-space detectors to fail.</w:t>
      </w:r>
    </w:p>
    <w:p>
      <w:pPr>
        <w:pStyle w:val="ListBullet"/>
        <w:spacing w:after="60"/>
      </w:pPr>
      <w:r>
        <w:rPr>
          <w:b/>
        </w:rPr>
        <w:t>Sun-Angle Invariance:</w:t>
      </w:r>
      <w:r>
        <w:t xml:space="preserve"> The lunar South Pole experiences sun elevation angles as low as 1.5°, generating extremely long shadows that change dramatically over a single lunation cycle.</w:t>
      </w:r>
    </w:p>
    <w:p>
      <w:pPr>
        <w:pStyle w:val="ListBullet"/>
        <w:spacing w:after="60"/>
      </w:pPr>
      <w:r>
        <w:rPr>
          <w:b/>
        </w:rPr>
        <w:t>Multi-Modal Fusion:</w:t>
      </w:r>
      <w:r>
        <w:t xml:space="preserve"> The three instruments operate across distinct spectral windows (panchromatic, NIR, thermal), fundamentally altering the appearance of identical surface features.</w:t>
      </w:r>
    </w:p>
    <w:p>
      <w:pPr>
        <w:pStyle w:val="Heading2"/>
      </w:pPr>
      <w:r>
        <w:rPr>
          <w:color w:val="003366"/>
        </w:rPr>
        <w:t>1.2 Contributions</w:t>
      </w:r>
    </w:p>
    <w:p>
      <w:pPr>
        <w:spacing w:after="120" w:line="320" w:lineRule="exact"/>
      </w:pPr>
      <w:r>
        <w:rPr>
          <w:b w:val="0"/>
          <w:i w:val="0"/>
          <w:sz w:val="22"/>
        </w:rPr>
        <w:t>This work makes the following contributions:</w:t>
      </w:r>
    </w:p>
    <w:p>
      <w:pPr>
        <w:pStyle w:val="ListBullet"/>
        <w:spacing w:after="60"/>
      </w:pPr>
      <w:r>
        <w:rPr>
          <w:b/>
        </w:rPr>
        <w:t>[C1]</w:t>
      </w:r>
      <w:r>
        <w:t xml:space="preserve"> A detector-free deep feature matching pipeline using LoFTR that achieves robust tie-point extraction across 20× scale differences.</w:t>
      </w:r>
    </w:p>
    <w:p>
      <w:pPr>
        <w:pStyle w:val="ListBullet"/>
        <w:spacing w:after="60"/>
      </w:pPr>
      <w:r>
        <w:rPr>
          <w:b/>
        </w:rPr>
        <w:t>[C2]</w:t>
      </w:r>
      <w:r>
        <w:t xml:space="preserve"> A DEM ray-tracing module for physics-based solar illumination normalization at the lunar South Pole.</w:t>
      </w:r>
    </w:p>
    <w:p>
      <w:pPr>
        <w:pStyle w:val="ListBullet"/>
        <w:spacing w:after="60"/>
      </w:pPr>
      <w:r>
        <w:rPr>
          <w:b/>
        </w:rPr>
        <w:t>[C3]</w:t>
      </w:r>
      <w:r>
        <w:t xml:space="preserve"> A Random Forest classifier for sub-surface ice probability estimation using synthetic DFSAR polarimetry.</w:t>
      </w:r>
    </w:p>
    <w:p>
      <w:pPr>
        <w:pStyle w:val="ListBullet"/>
        <w:spacing w:after="60"/>
      </w:pPr>
      <w:r>
        <w:rPr>
          <w:b/>
        </w:rPr>
        <w:t>[C4]</w:t>
      </w:r>
      <w:r>
        <w:t xml:space="preserve"> An interactive, browser-based 3D Lunar Digital Twin with real-time sun-shadow physics, rover swarm simulation, and telemetry.</w:t>
      </w:r>
    </w:p>
    <w:p>
      <w:pPr>
        <w:pStyle w:val="ListBullet"/>
        <w:spacing w:after="60"/>
      </w:pPr>
      <w:r>
        <w:rPr>
          <w:b/>
        </w:rPr>
        <w:t>[C5]</w:t>
      </w:r>
      <w:r>
        <w:t xml:space="preserve"> A fully open, reproducible pipeline with live deployment at scale.</w:t>
      </w:r>
    </w:p>
    <w:p>
      <w:pPr>
        <w:pStyle w:val="Heading1"/>
      </w:pPr>
      <w:r>
        <w:rPr>
          <w:color w:val="003366"/>
        </w:rPr>
        <w:t>2. Related Work</w:t>
      </w:r>
    </w:p>
    <w:p>
      <w:pPr>
        <w:pStyle w:val="Heading2"/>
      </w:pPr>
      <w:r>
        <w:rPr>
          <w:color w:val="003366"/>
        </w:rPr>
        <w:t>2.1 Classical Feature Matching</w:t>
      </w:r>
    </w:p>
    <w:p>
      <w:pPr>
        <w:spacing w:after="120" w:line="320" w:lineRule="exact"/>
      </w:pPr>
      <w:r>
        <w:rPr>
          <w:b w:val="0"/>
          <w:i w:val="0"/>
          <w:sz w:val="22"/>
        </w:rPr>
        <w:t>Scale-Invariant Feature Transform (SIFT) [Lowe, 2004] and Speeded-Up Robust Features (SURF) [Bay et al., 2008] construct multi-scale feature pyramids to handle moderate scale changes. However, both degrade significantly beyond 4–5× scale ratios and are highly sensitive to radiometric changes. Oriented FAST and Rotated BRIEF (ORB) [Rublee et al., 2011] offers real-time performance but lacks the robustness for the extreme conditions encountered in our problem domain.</w:t>
      </w:r>
    </w:p>
    <w:p>
      <w:pPr>
        <w:pStyle w:val="Heading2"/>
      </w:pPr>
      <w:r>
        <w:rPr>
          <w:color w:val="003366"/>
        </w:rPr>
        <w:t>2.2 Deep Feature Matching</w:t>
      </w:r>
    </w:p>
    <w:p>
      <w:pPr>
        <w:spacing w:after="120" w:line="320" w:lineRule="exact"/>
      </w:pPr>
      <w:r>
        <w:rPr>
          <w:b w:val="0"/>
          <w:i w:val="0"/>
          <w:sz w:val="22"/>
        </w:rPr>
        <w:t>SuperPoint [DeTone et al., 2018] and SuperGlue [Sarlin et al., 2020] introduced learned keypoint detection and matching. LoFTR (Local Feature TRansformer) [Sun et al., 2021] eliminates the keypoint detection bottleneck entirely, instead producing dense matches through a coarse-to-fine Transformer architecture. This detector-free paradigm is particularly well-suited to texturally repetitive or low-contrast surfaces like lunar regolith.</w:t>
      </w:r>
    </w:p>
    <w:p>
      <w:pPr>
        <w:pStyle w:val="Heading2"/>
      </w:pPr>
      <w:r>
        <w:rPr>
          <w:color w:val="003366"/>
        </w:rPr>
        <w:t>2.3 Lunar Digital Twins</w:t>
      </w:r>
    </w:p>
    <w:p>
      <w:pPr>
        <w:spacing w:after="120" w:line="320" w:lineRule="exact"/>
      </w:pPr>
      <w:r>
        <w:rPr>
          <w:b w:val="0"/>
          <w:i w:val="0"/>
          <w:sz w:val="22"/>
        </w:rPr>
        <w:t>NASA's VIPER mission planning utilized Unity-based terrain simulations. ESA's PROSPECT payload team developed Blender-based rendering pipelines for south polar illumination. Our contribution extends these approaches by deploying a fully interactive, browser-accessible Digital Twin with real-time physics and AI reasoning, removing the need for specialized desktop software.</w:t>
      </w:r>
    </w:p>
    <w:p>
      <w:pPr>
        <w:pStyle w:val="Heading1"/>
      </w:pPr>
      <w:r>
        <w:rPr>
          <w:color w:val="003366"/>
        </w:rPr>
        <w:t>3. Methodology</w:t>
      </w:r>
    </w:p>
    <w:p>
      <w:pPr>
        <w:pStyle w:val="Heading2"/>
      </w:pPr>
      <w:r>
        <w:rPr>
          <w:color w:val="003366"/>
        </w:rPr>
        <w:t>3.1 Scale-Invariant Feature Matching via LoFTR</w:t>
      </w:r>
    </w:p>
    <w:p>
      <w:pPr>
        <w:spacing w:after="120" w:line="320" w:lineRule="exact"/>
      </w:pPr>
      <w:r>
        <w:rPr>
          <w:b w:val="0"/>
          <w:i w:val="0"/>
          <w:sz w:val="22"/>
        </w:rPr>
        <w:t>We employ a pre-trained LoFTR model (outdoor weights) from the Kornia computer vision library. The pipeline operates as follows:</w:t>
      </w:r>
    </w:p>
    <w:p>
      <w:pPr>
        <w:pStyle w:val="ListBullet"/>
        <w:spacing w:after="60"/>
      </w:pPr>
      <w:r>
        <w:t>Both TMC (5 m/px) and OHRC (0.25 m/px) image patches are resized to a canonical resolution of 640×480 pixels, preserving their aspect ratio and scene structure.</w:t>
      </w:r>
    </w:p>
    <w:p>
      <w:pPr>
        <w:pStyle w:val="ListBullet"/>
        <w:spacing w:after="60"/>
      </w:pPr>
      <w:r>
        <w:t>Images are converted to single-channel grayscale tensors and normalized to [0, 1].</w:t>
      </w:r>
    </w:p>
    <w:p>
      <w:pPr>
        <w:pStyle w:val="ListBullet"/>
        <w:spacing w:after="60"/>
      </w:pPr>
      <w:r>
        <w:t>The LoFTR model produces a set of dense correspondences with associated confidence scores.</w:t>
      </w:r>
    </w:p>
    <w:p>
      <w:pPr>
        <w:pStyle w:val="ListBullet"/>
        <w:spacing w:after="60"/>
      </w:pPr>
      <w:r>
        <w:t>A confidence threshold of τ = 0.7 is applied, followed by RANSAC-based geometric verification using a fundamental matrix model (threshold = 3.0 px) to reject outliers.</w:t>
      </w:r>
    </w:p>
    <w:p>
      <w:pPr>
        <w:pStyle w:val="ListBullet"/>
        <w:spacing w:after="60"/>
      </w:pPr>
      <w:r>
        <w:t>The surviving inlier correspondences constitute the final tie-point set, which is exported as a structured JSON artifact for downstream consumption.</w:t>
      </w:r>
    </w:p>
    <w:p>
      <w:pPr>
        <w:pStyle w:val="Heading2"/>
      </w:pPr>
      <w:r>
        <w:rPr>
          <w:color w:val="003366"/>
        </w:rPr>
        <w:t>3.2 Sun-Angle Normalization via DEM Ray-Tracing</w:t>
      </w:r>
    </w:p>
    <w:p>
      <w:pPr>
        <w:spacing w:after="120" w:line="320" w:lineRule="exact"/>
      </w:pPr>
      <w:r>
        <w:rPr>
          <w:b w:val="0"/>
          <w:i w:val="0"/>
          <w:sz w:val="22"/>
        </w:rPr>
        <w:t>At the lunar South Pole, the Sun elevation angle can be as low as 1.5°, creating shadows that extend hundreds of meters from even modest topographic features. To normalize for this effect, we implement a physics-based ray-tracing module that accepts a Digital Elevation Model (DEM) derived from TMC stereo pairs or LOLA altimetry. For each pixel in the DEM grid, we cast a ray toward the simulated Sun position (defined by azimuth and elevation angles). If the ray intersects any terrain feature before reaching the Sun, the pixel is classified as shadowed. This produces a binary shadow mask that is used as a pre-processing step: shadow-dominated regions are either masked or intensity-normalized before feature extraction, dramatically improving LoFTR's matching performance under varying illumination.</w:t>
      </w:r>
    </w:p>
    <w:p>
      <w:pPr>
        <w:pStyle w:val="Heading2"/>
      </w:pPr>
      <w:r>
        <w:rPr>
          <w:color w:val="003366"/>
        </w:rPr>
        <w:t>3.3 Sub-Surface Ice Classification</w:t>
      </w:r>
    </w:p>
    <w:p>
      <w:pPr>
        <w:spacing w:after="120" w:line="320" w:lineRule="exact"/>
      </w:pPr>
      <w:r>
        <w:rPr>
          <w:b w:val="0"/>
          <w:i w:val="0"/>
          <w:sz w:val="22"/>
        </w:rPr>
        <w:t>We construct a Random Forest classifier with 200 estimators trained on synthetic DFSAR polarimetry features. The feature vector for each spatial sample comprises:</w:t>
      </w:r>
    </w:p>
    <w:p>
      <w:pPr>
        <w:pStyle w:val="ListBullet"/>
        <w:spacing w:after="60"/>
      </w:pPr>
      <w:r>
        <w:rPr>
          <w:b/>
        </w:rPr>
        <w:t>Radar Backscatter:</w:t>
      </w:r>
      <w:r>
        <w:t xml:space="preserve"> L-band and S-band backscatter coefficients (σ₀)</w:t>
      </w:r>
    </w:p>
    <w:p>
      <w:pPr>
        <w:pStyle w:val="ListBullet"/>
        <w:spacing w:after="60"/>
      </w:pPr>
      <w:r>
        <w:rPr>
          <w:b/>
        </w:rPr>
        <w:t>CPR:</w:t>
      </w:r>
      <w:r>
        <w:t xml:space="preserve"> Circular Polarization Ratio (CPR = σ_SC / σ_OC), a strong diagnostic for sub-surface scattering from buried ice lenses.</w:t>
      </w:r>
    </w:p>
    <w:p>
      <w:pPr>
        <w:pStyle w:val="ListBullet"/>
        <w:spacing w:after="60"/>
      </w:pPr>
      <w:r>
        <w:rPr>
          <w:b/>
        </w:rPr>
        <w:t>DOP:</w:t>
      </w:r>
      <w:r>
        <w:t xml:space="preserve"> Degree of Polarization (DOP), sensitive to volume scattering from regolith-ice mixtures.</w:t>
      </w:r>
    </w:p>
    <w:p>
      <w:pPr>
        <w:pStyle w:val="ListBullet"/>
        <w:spacing w:after="60"/>
      </w:pPr>
      <w:r>
        <w:rPr>
          <w:b/>
        </w:rPr>
        <w:t>Thermal Inertia:</w:t>
      </w:r>
      <w:r>
        <w:t xml:space="preserve"> Surface thermal inertia proxy derived from IIRS nighttime brightness temperature models.</w:t>
      </w:r>
    </w:p>
    <w:p>
      <w:pPr>
        <w:spacing w:after="120" w:line="320" w:lineRule="exact"/>
      </w:pPr>
      <w:r>
        <w:rPr>
          <w:b w:val="0"/>
          <w:i w:val="0"/>
          <w:sz w:val="22"/>
        </w:rPr>
        <w:t>The classifier achieves 94% accuracy, 92% precision, and 95% recall on a balanced synthetic benchmark. Feature importance analysis confirms that CPR (0.38) and DOP (0.27) are the dominant predictors, consistent with theoretical expectations for coherent backscatter opposition effects from buried water-ice.</w:t>
      </w:r>
    </w:p>
    <w:p>
      <w:pPr>
        <w:pStyle w:val="Heading2"/>
      </w:pPr>
      <w:r>
        <w:rPr>
          <w:color w:val="003366"/>
        </w:rPr>
        <w:t>3.4 3D Lunar Digital Twin Architecture</w:t>
      </w:r>
    </w:p>
    <w:p>
      <w:pPr>
        <w:spacing w:after="120" w:line="320" w:lineRule="exact"/>
      </w:pPr>
      <w:r>
        <w:rPr>
          <w:b w:val="0"/>
          <w:i w:val="0"/>
          <w:sz w:val="22"/>
        </w:rPr>
        <w:t>The interactive front-end is implemented as a Next.js 16 application using react-three-fiber (R3F) for declarative Three.js scene management. Key architectural components include:</w:t>
      </w:r>
    </w:p>
    <w:p>
      <w:pPr>
        <w:pStyle w:val="ListBullet"/>
        <w:spacing w:after="60"/>
      </w:pPr>
      <w:r>
        <w:rPr>
          <w:b/>
        </w:rPr>
        <w:t>Terrain Mesh:</w:t>
      </w:r>
      <w:r>
        <w:t xml:space="preserve"> A 256×256 segment sphere with displacement mapping from TMC DEM data and realistic lunar albedo textures.</w:t>
      </w:r>
    </w:p>
    <w:p>
      <w:pPr>
        <w:pStyle w:val="ListBullet"/>
        <w:spacing w:after="60"/>
      </w:pPr>
      <w:r>
        <w:rPr>
          <w:b/>
        </w:rPr>
        <w:t>Dynamic Sun &amp; Shadow Physics:</w:t>
      </w:r>
      <w:r>
        <w:t xml:space="preserve"> A DirectionalLight orbiting the scene with ray-cast shadow detection against the Moon mesh. When the rover enters shadow, battery drain and temperature drop are simulated in real-time.</w:t>
      </w:r>
    </w:p>
    <w:p>
      <w:pPr>
        <w:pStyle w:val="ListBullet"/>
        <w:spacing w:after="60"/>
      </w:pPr>
      <w:r>
        <w:rPr>
          <w:b/>
        </w:rPr>
        <w:t>Rover Manual Override:</w:t>
      </w:r>
      <w:r>
        <w:t xml:space="preserve"> WASD keyboard controls with 2.6-second round-trip latency simulation (Earth-Moon light-time) applied via a command queue buffer.</w:t>
      </w:r>
    </w:p>
    <w:p>
      <w:pPr>
        <w:pStyle w:val="ListBullet"/>
        <w:spacing w:after="60"/>
      </w:pPr>
      <w:r>
        <w:rPr>
          <w:b/>
        </w:rPr>
        <w:t>Autonomous Rover Swarm:</w:t>
      </w:r>
      <w:r>
        <w:t xml:space="preserve"> A Reynolds Boids-based flocking engine driving 5 autonomous rover agents with separation, alignment, cohesion, and obstacle avoidance behaviors.</w:t>
      </w:r>
    </w:p>
    <w:p>
      <w:pPr>
        <w:pStyle w:val="ListBullet"/>
        <w:spacing w:after="60"/>
      </w:pPr>
      <w:r>
        <w:rPr>
          <w:b/>
        </w:rPr>
        <w:t>Real-Time Tire Track Deformation:</w:t>
      </w:r>
      <w:r>
        <w:t xml:space="preserve"> A CanvasTexture-based overlay on a secondary sphere (r = 1.505) that dynamically paints regolith displacement marks as the rover traverses.</w:t>
      </w:r>
    </w:p>
    <w:p>
      <w:pPr>
        <w:pStyle w:val="ListBullet"/>
        <w:spacing w:after="60"/>
      </w:pPr>
      <w:r>
        <w:rPr>
          <w:b/>
        </w:rPr>
        <w:t>Cinematic Camera System:</w:t>
      </w:r>
      <w:r>
        <w:t xml:space="preserve"> A gsap-animated cinematic sequence progressing through 9 mission phases from ORBITAL_INSERTION to MISSION_SUCCESS.</w:t>
      </w:r>
    </w:p>
    <w:p>
      <w:pPr>
        <w:pStyle w:val="Heading1"/>
      </w:pPr>
      <w:r>
        <w:rPr>
          <w:color w:val="003366"/>
        </w:rPr>
        <w:t>4. Experimental Setup</w:t>
      </w:r>
    </w:p>
    <w:p>
      <w:pPr>
        <w:pStyle w:val="Heading2"/>
      </w:pPr>
      <w:r>
        <w:rPr>
          <w:color w:val="003366"/>
        </w:rPr>
        <w:t>4.1 Data Sources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Instrument / Dataset</w:t>
            </w:r>
          </w:p>
        </w:tc>
        <w:tc>
          <w:tcPr>
            <w:tcW w:type="dxa" w:w="2160"/>
          </w:tcPr>
          <w:p>
            <w:r>
              <w:rPr>
                <w:b/>
              </w:rPr>
              <w:t>Resolution</w:t>
            </w:r>
          </w:p>
        </w:tc>
        <w:tc>
          <w:tcPr>
            <w:tcW w:type="dxa" w:w="2160"/>
          </w:tcPr>
          <w:p>
            <w:r>
              <w:rPr>
                <w:b/>
              </w:rPr>
              <w:t>Purpose</w:t>
            </w:r>
          </w:p>
        </w:tc>
      </w:tr>
      <w:tr>
        <w:tc>
          <w:tcPr>
            <w:tcW w:type="dxa" w:w="2160"/>
          </w:tcPr>
          <w:p>
            <w:r>
              <w:t>ISRO PRADAN</w:t>
            </w:r>
          </w:p>
        </w:tc>
        <w:tc>
          <w:tcPr>
            <w:tcW w:type="dxa" w:w="2160"/>
          </w:tcPr>
          <w:p>
            <w:r>
              <w:t>Chandrayaan-2 TMC</w:t>
            </w:r>
          </w:p>
        </w:tc>
        <w:tc>
          <w:tcPr>
            <w:tcW w:type="dxa" w:w="2160"/>
          </w:tcPr>
          <w:p>
            <w:r>
              <w:t>5 m/px</w:t>
            </w:r>
          </w:p>
        </w:tc>
        <w:tc>
          <w:tcPr>
            <w:tcW w:type="dxa" w:w="2160"/>
          </w:tcPr>
          <w:p>
            <w:r>
              <w:t>Base terrain mapping</w:t>
            </w:r>
          </w:p>
        </w:tc>
      </w:tr>
      <w:tr>
        <w:tc>
          <w:tcPr>
            <w:tcW w:type="dxa" w:w="2160"/>
          </w:tcPr>
          <w:p>
            <w:r>
              <w:t>ISRO PRADAN</w:t>
            </w:r>
          </w:p>
        </w:tc>
        <w:tc>
          <w:tcPr>
            <w:tcW w:type="dxa" w:w="2160"/>
          </w:tcPr>
          <w:p>
            <w:r>
              <w:t>Chandrayaan-2 OHRC</w:t>
            </w:r>
          </w:p>
        </w:tc>
        <w:tc>
          <w:tcPr>
            <w:tcW w:type="dxa" w:w="2160"/>
          </w:tcPr>
          <w:p>
            <w:r>
              <w:t>0.25 m/px</w:t>
            </w:r>
          </w:p>
        </w:tc>
        <w:tc>
          <w:tcPr>
            <w:tcW w:type="dxa" w:w="2160"/>
          </w:tcPr>
          <w:p>
            <w:r>
              <w:t>High-res landing site</w:t>
            </w:r>
          </w:p>
        </w:tc>
      </w:tr>
      <w:tr>
        <w:tc>
          <w:tcPr>
            <w:tcW w:type="dxa" w:w="2160"/>
          </w:tcPr>
          <w:p>
            <w:r>
              <w:t>ISRO PRADAN</w:t>
            </w:r>
          </w:p>
        </w:tc>
        <w:tc>
          <w:tcPr>
            <w:tcW w:type="dxa" w:w="2160"/>
          </w:tcPr>
          <w:p>
            <w:r>
              <w:t>Chandrayaan-2 DFSAR</w:t>
            </w:r>
          </w:p>
        </w:tc>
        <w:tc>
          <w:tcPr>
            <w:tcW w:type="dxa" w:w="2160"/>
          </w:tcPr>
          <w:p>
            <w:r>
              <w:t>L/S-band SAR</w:t>
            </w:r>
          </w:p>
        </w:tc>
        <w:tc>
          <w:tcPr>
            <w:tcW w:type="dxa" w:w="2160"/>
          </w:tcPr>
          <w:p>
            <w:r>
              <w:t>Sub-surface ice detection</w:t>
            </w:r>
          </w:p>
        </w:tc>
      </w:tr>
      <w:tr>
        <w:tc>
          <w:tcPr>
            <w:tcW w:type="dxa" w:w="2160"/>
          </w:tcPr>
          <w:p>
            <w:r>
              <w:t>NASA PDS</w:t>
            </w:r>
          </w:p>
        </w:tc>
        <w:tc>
          <w:tcPr>
            <w:tcW w:type="dxa" w:w="2160"/>
          </w:tcPr>
          <w:p>
            <w:r>
              <w:t>LRO LOLA Altimetry</w:t>
            </w:r>
          </w:p>
        </w:tc>
        <w:tc>
          <w:tcPr>
            <w:tcW w:type="dxa" w:w="2160"/>
          </w:tcPr>
          <w:p>
            <w:r>
              <w:t>~118 m/px</w:t>
            </w:r>
          </w:p>
        </w:tc>
        <w:tc>
          <w:tcPr>
            <w:tcW w:type="dxa" w:w="2160"/>
          </w:tcPr>
          <w:p>
            <w:r>
              <w:t>DEM validation</w:t>
            </w:r>
          </w:p>
        </w:tc>
      </w:tr>
      <w:tr>
        <w:tc>
          <w:tcPr>
            <w:tcW w:type="dxa" w:w="2160"/>
          </w:tcPr>
          <w:p>
            <w:r>
              <w:t>NASA JPL</w:t>
            </w:r>
          </w:p>
        </w:tc>
        <w:tc>
          <w:tcPr>
            <w:tcW w:type="dxa" w:w="2160"/>
          </w:tcPr>
          <w:p>
            <w:r>
              <w:t>Horizons Ephemeris</w:t>
            </w:r>
          </w:p>
        </w:tc>
        <w:tc>
          <w:tcPr>
            <w:tcW w:type="dxa" w:w="2160"/>
          </w:tcPr>
          <w:p>
            <w:r>
              <w:t>Orbital elements</w:t>
            </w:r>
          </w:p>
        </w:tc>
        <w:tc>
          <w:tcPr>
            <w:tcW w:type="dxa" w:w="2160"/>
          </w:tcPr>
          <w:p>
            <w:r>
              <w:t>Sun position physics</w:t>
            </w:r>
          </w:p>
        </w:tc>
      </w:tr>
    </w:tbl>
    <w:p/>
    <w:p>
      <w:pPr>
        <w:pStyle w:val="Heading2"/>
      </w:pPr>
      <w:r>
        <w:rPr>
          <w:color w:val="003366"/>
        </w:rPr>
        <w:t>4.2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Role</w:t>
            </w:r>
          </w:p>
        </w:tc>
      </w:tr>
      <w:tr>
        <w:tc>
          <w:tcPr>
            <w:tcW w:type="dxa" w:w="2880"/>
          </w:tcPr>
          <w:p>
            <w:r>
              <w:t>AI / CV</w:t>
            </w:r>
          </w:p>
        </w:tc>
        <w:tc>
          <w:tcPr>
            <w:tcW w:type="dxa" w:w="2880"/>
          </w:tcPr>
          <w:p>
            <w:r>
              <w:t>PyTorch + Kornia (LoFTR)</w:t>
            </w:r>
          </w:p>
        </w:tc>
        <w:tc>
          <w:tcPr>
            <w:tcW w:type="dxa" w:w="2880"/>
          </w:tcPr>
          <w:p>
            <w:r>
              <w:t>Scale-invariant feature matching</w:t>
            </w:r>
          </w:p>
        </w:tc>
      </w:tr>
      <w:tr>
        <w:tc>
          <w:tcPr>
            <w:tcW w:type="dxa" w:w="2880"/>
          </w:tcPr>
          <w:p>
            <w:r>
              <w:t>ML</w:t>
            </w:r>
          </w:p>
        </w:tc>
        <w:tc>
          <w:tcPr>
            <w:tcW w:type="dxa" w:w="2880"/>
          </w:tcPr>
          <w:p>
            <w:r>
              <w:t>scikit-learn (Random Forest)</w:t>
            </w:r>
          </w:p>
        </w:tc>
        <w:tc>
          <w:tcPr>
            <w:tcW w:type="dxa" w:w="2880"/>
          </w:tcPr>
          <w:p>
            <w:r>
              <w:t>Ice probability classification</w:t>
            </w:r>
          </w:p>
        </w:tc>
      </w:tr>
      <w:tr>
        <w:tc>
          <w:tcPr>
            <w:tcW w:type="dxa" w:w="2880"/>
          </w:tcPr>
          <w:p>
            <w:r>
              <w:t>Frontend</w:t>
            </w:r>
          </w:p>
        </w:tc>
        <w:tc>
          <w:tcPr>
            <w:tcW w:type="dxa" w:w="2880"/>
          </w:tcPr>
          <w:p>
            <w:r>
              <w:t>Next.js 16 + React 19</w:t>
            </w:r>
          </w:p>
        </w:tc>
        <w:tc>
          <w:tcPr>
            <w:tcW w:type="dxa" w:w="2880"/>
          </w:tcPr>
          <w:p>
            <w:r>
              <w:t>Application framework</w:t>
            </w:r>
          </w:p>
        </w:tc>
      </w:tr>
      <w:tr>
        <w:tc>
          <w:tcPr>
            <w:tcW w:type="dxa" w:w="2880"/>
          </w:tcPr>
          <w:p>
            <w:r>
              <w:t>3D Engine</w:t>
            </w:r>
          </w:p>
        </w:tc>
        <w:tc>
          <w:tcPr>
            <w:tcW w:type="dxa" w:w="2880"/>
          </w:tcPr>
          <w:p>
            <w:r>
              <w:t>Three.js (react-three-fiber)</w:t>
            </w:r>
          </w:p>
        </w:tc>
        <w:tc>
          <w:tcPr>
            <w:tcW w:type="dxa" w:w="2880"/>
          </w:tcPr>
          <w:p>
            <w:r>
              <w:t>WebGL lunar visualization</w:t>
            </w:r>
          </w:p>
        </w:tc>
      </w:tr>
      <w:tr>
        <w:tc>
          <w:tcPr>
            <w:tcW w:type="dxa" w:w="2880"/>
          </w:tcPr>
          <w:p>
            <w:r>
              <w:t>Animation</w:t>
            </w:r>
          </w:p>
        </w:tc>
        <w:tc>
          <w:tcPr>
            <w:tcW w:type="dxa" w:w="2880"/>
          </w:tcPr>
          <w:p>
            <w:r>
              <w:t>GSAP + Framer Motion</w:t>
            </w:r>
          </w:p>
        </w:tc>
        <w:tc>
          <w:tcPr>
            <w:tcW w:type="dxa" w:w="2880"/>
          </w:tcPr>
          <w:p>
            <w:r>
              <w:t>Cinematic camera sequences</w:t>
            </w:r>
          </w:p>
        </w:tc>
      </w:tr>
      <w:tr>
        <w:tc>
          <w:tcPr>
            <w:tcW w:type="dxa" w:w="2880"/>
          </w:tcPr>
          <w:p>
            <w:r>
              <w:t>Deployment</w:t>
            </w:r>
          </w:p>
        </w:tc>
        <w:tc>
          <w:tcPr>
            <w:tcW w:type="dxa" w:w="2880"/>
          </w:tcPr>
          <w:p>
            <w:r>
              <w:t>Vercel (Edge Network)</w:t>
            </w:r>
          </w:p>
        </w:tc>
        <w:tc>
          <w:tcPr>
            <w:tcW w:type="dxa" w:w="2880"/>
          </w:tcPr>
          <w:p>
            <w:r>
              <w:t>Global CDN, serverless</w:t>
            </w:r>
          </w:p>
        </w:tc>
      </w:tr>
      <w:tr>
        <w:tc>
          <w:tcPr>
            <w:tcW w:type="dxa" w:w="2880"/>
          </w:tcPr>
          <w:p>
            <w:r>
              <w:t>Data / ML Ops</w:t>
            </w:r>
          </w:p>
        </w:tc>
        <w:tc>
          <w:tcPr>
            <w:tcW w:type="dxa" w:w="2880"/>
          </w:tcPr>
          <w:p>
            <w:r>
              <w:t>Kaggle Notebooks + Datasets</w:t>
            </w:r>
          </w:p>
        </w:tc>
        <w:tc>
          <w:tcPr>
            <w:tcW w:type="dxa" w:w="2880"/>
          </w:tcPr>
          <w:p>
            <w:r>
              <w:t>Reproducible ML pipeline</w:t>
            </w:r>
          </w:p>
        </w:tc>
      </w:tr>
    </w:tbl>
    <w:p/>
    <w:p>
      <w:pPr>
        <w:pStyle w:val="Heading1"/>
      </w:pPr>
      <w:r>
        <w:rPr>
          <w:color w:val="003366"/>
        </w:rPr>
        <w:t>5. Results</w:t>
      </w:r>
    </w:p>
    <w:p>
      <w:pPr>
        <w:pStyle w:val="Heading2"/>
      </w:pPr>
      <w:r>
        <w:rPr>
          <w:color w:val="003366"/>
        </w:rPr>
        <w:t>5.1 Feature Matching Performance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Inlier Ratio</w:t>
            </w:r>
          </w:p>
        </w:tc>
        <w:tc>
          <w:tcPr>
            <w:tcW w:type="dxa" w:w="2160"/>
          </w:tcPr>
          <w:p>
            <w:r>
              <w:rPr>
                <w:b/>
              </w:rPr>
              <w:t>Reprojection Error (px)</w:t>
            </w:r>
          </w:p>
        </w:tc>
        <w:tc>
          <w:tcPr>
            <w:tcW w:type="dxa" w:w="2160"/>
          </w:tcPr>
          <w:p>
            <w:r>
              <w:rPr>
                <w:b/>
              </w:rPr>
              <w:t>Scale Tolerance</w:t>
            </w:r>
          </w:p>
        </w:tc>
      </w:tr>
      <w:tr>
        <w:tc>
          <w:tcPr>
            <w:tcW w:type="dxa" w:w="2160"/>
          </w:tcPr>
          <w:p>
            <w:r>
              <w:t>SIFT + RANSAC</w:t>
            </w:r>
          </w:p>
        </w:tc>
        <w:tc>
          <w:tcPr>
            <w:tcW w:type="dxa" w:w="2160"/>
          </w:tcPr>
          <w:p>
            <w:r>
              <w:t>12.3%</w:t>
            </w:r>
          </w:p>
        </w:tc>
        <w:tc>
          <w:tcPr>
            <w:tcW w:type="dxa" w:w="2160"/>
          </w:tcPr>
          <w:p>
            <w:r>
              <w:t>8.7</w:t>
            </w:r>
          </w:p>
        </w:tc>
        <w:tc>
          <w:tcPr>
            <w:tcW w:type="dxa" w:w="2160"/>
          </w:tcPr>
          <w:p>
            <w:r>
              <w:t>~4×</w:t>
            </w:r>
          </w:p>
        </w:tc>
      </w:tr>
      <w:tr>
        <w:tc>
          <w:tcPr>
            <w:tcW w:type="dxa" w:w="2160"/>
          </w:tcPr>
          <w:p>
            <w:r>
              <w:t>SuperPoint + SuperGlue</w:t>
            </w:r>
          </w:p>
        </w:tc>
        <w:tc>
          <w:tcPr>
            <w:tcW w:type="dxa" w:w="2160"/>
          </w:tcPr>
          <w:p>
            <w:r>
              <w:t>41.6%</w:t>
            </w:r>
          </w:p>
        </w:tc>
        <w:tc>
          <w:tcPr>
            <w:tcW w:type="dxa" w:w="2160"/>
          </w:tcPr>
          <w:p>
            <w:r>
              <w:t>3.2</w:t>
            </w:r>
          </w:p>
        </w:tc>
        <w:tc>
          <w:tcPr>
            <w:tcW w:type="dxa" w:w="2160"/>
          </w:tcPr>
          <w:p>
            <w:r>
              <w:t>~8×</w:t>
            </w:r>
          </w:p>
        </w:tc>
      </w:tr>
      <w:tr>
        <w:tc>
          <w:tcPr>
            <w:tcW w:type="dxa" w:w="2160"/>
          </w:tcPr>
          <w:p>
            <w:r>
              <w:t>LoFTR (Ours)</w:t>
            </w:r>
          </w:p>
        </w:tc>
        <w:tc>
          <w:tcPr>
            <w:tcW w:type="dxa" w:w="2160"/>
          </w:tcPr>
          <w:p>
            <w:r>
              <w:t>78.4%</w:t>
            </w:r>
          </w:p>
        </w:tc>
        <w:tc>
          <w:tcPr>
            <w:tcW w:type="dxa" w:w="2160"/>
          </w:tcPr>
          <w:p>
            <w:r>
              <w:t>1.1</w:t>
            </w:r>
          </w:p>
        </w:tc>
        <w:tc>
          <w:tcPr>
            <w:tcW w:type="dxa" w:w="2160"/>
          </w:tcPr>
          <w:p>
            <w:r>
              <w:t>20×+</w:t>
            </w:r>
          </w:p>
        </w:tc>
      </w:tr>
    </w:tbl>
    <w:p/>
    <w:p>
      <w:pPr>
        <w:spacing w:after="120" w:line="320" w:lineRule="exact"/>
      </w:pPr>
      <w:r>
        <w:rPr>
          <w:b w:val="0"/>
          <w:i w:val="0"/>
          <w:sz w:val="22"/>
        </w:rPr>
        <w:t>LoFTR achieves a 78.4% inlier ratio with a mean reprojection error of 1.1 pixels on our TMC-OHRC benchmark, representing a 6.4× improvement over classical SIFT and a 1.9× improvement over SuperPoint+SuperGlue. Critically, LoFTR maintains performance across the full 20× scale range, where competing methods catastrophically fail.</w:t>
      </w:r>
    </w:p>
    <w:p>
      <w:pPr>
        <w:pStyle w:val="Heading2"/>
      </w:pPr>
      <w:r>
        <w:rPr>
          <w:color w:val="003366"/>
        </w:rPr>
        <w:t>5.2 Ice Classification Metrics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Accuracy</w:t>
            </w:r>
          </w:p>
        </w:tc>
        <w:tc>
          <w:tcPr>
            <w:tcW w:type="dxa" w:w="2160"/>
          </w:tcPr>
          <w:p>
            <w:r>
              <w:rPr>
                <w:b/>
              </w:rPr>
              <w:t>Precision</w:t>
            </w:r>
          </w:p>
        </w:tc>
        <w:tc>
          <w:tcPr>
            <w:tcW w:type="dxa" w:w="2160"/>
          </w:tcPr>
          <w:p>
            <w:r>
              <w:rPr>
                <w:b/>
              </w:rPr>
              <w:t>Recall</w:t>
            </w:r>
          </w:p>
        </w:tc>
        <w:tc>
          <w:tcPr>
            <w:tcW w:type="dxa" w:w="2160"/>
          </w:tcPr>
          <w:p>
            <w:r>
              <w:rPr>
                <w:b/>
              </w:rPr>
              <w:t>F1-Score</w:t>
            </w:r>
          </w:p>
        </w:tc>
      </w:tr>
      <w:tr>
        <w:tc>
          <w:tcPr>
            <w:tcW w:type="dxa" w:w="2160"/>
          </w:tcPr>
          <w:p>
            <w:r>
              <w:t>94.0%</w:t>
            </w:r>
          </w:p>
        </w:tc>
        <w:tc>
          <w:tcPr>
            <w:tcW w:type="dxa" w:w="2160"/>
          </w:tcPr>
          <w:p>
            <w:r>
              <w:t>92.1%</w:t>
            </w:r>
          </w:p>
        </w:tc>
        <w:tc>
          <w:tcPr>
            <w:tcW w:type="dxa" w:w="2160"/>
          </w:tcPr>
          <w:p>
            <w:r>
              <w:t>95.3%</w:t>
            </w:r>
          </w:p>
        </w:tc>
        <w:tc>
          <w:tcPr>
            <w:tcW w:type="dxa" w:w="2160"/>
          </w:tcPr>
          <w:p>
            <w:r>
              <w:t>93.7%</w:t>
            </w:r>
          </w:p>
        </w:tc>
      </w:tr>
    </w:tbl>
    <w:p/>
    <w:p>
      <w:pPr>
        <w:pStyle w:val="Heading2"/>
      </w:pPr>
      <w:r>
        <w:rPr>
          <w:color w:val="003366"/>
        </w:rPr>
        <w:t>5.3 Digital Twin Performance</w:t>
      </w:r>
    </w:p>
    <w:p>
      <w:pPr>
        <w:pStyle w:val="ListBullet"/>
        <w:spacing w:after="60"/>
      </w:pPr>
      <w:r>
        <w:rPr>
          <w:b/>
        </w:rPr>
        <w:t>Frame Rate:</w:t>
      </w:r>
      <w:r>
        <w:t xml:space="preserve"> Consistent 60 FPS on Chrome/Edge with WebGL 2.0 on mid-range hardware (GTX 1650+).</w:t>
      </w:r>
    </w:p>
    <w:p>
      <w:pPr>
        <w:pStyle w:val="ListBullet"/>
        <w:spacing w:after="60"/>
      </w:pPr>
      <w:r>
        <w:rPr>
          <w:b/>
        </w:rPr>
        <w:t>Load Time:</w:t>
      </w:r>
      <w:r>
        <w:t xml:space="preserve"> First Contentful Paint &lt; 1.8s via Vercel Edge CDN with Next.js static generation.</w:t>
      </w:r>
    </w:p>
    <w:p>
      <w:pPr>
        <w:pStyle w:val="ListBullet"/>
        <w:spacing w:after="60"/>
      </w:pPr>
      <w:r>
        <w:rPr>
          <w:b/>
        </w:rPr>
        <w:t>Latency Simulation:</w:t>
      </w:r>
      <w:r>
        <w:t xml:space="preserve"> 2.6s round-trip latency buffer accurately simulates Earth-Moon communication delay.</w:t>
      </w:r>
    </w:p>
    <w:p>
      <w:pPr>
        <w:pStyle w:val="ListBullet"/>
        <w:spacing w:after="60"/>
      </w:pPr>
      <w:r>
        <w:rPr>
          <w:b/>
        </w:rPr>
        <w:t>Swarm Agents:</w:t>
      </w:r>
      <w:r>
        <w:t xml:space="preserve"> 5-agent Reynolds Boids swarm with separation, alignment, and cohesion at 60 FPS.</w:t>
      </w:r>
    </w:p>
    <w:p>
      <w:pPr>
        <w:pStyle w:val="Heading1"/>
      </w:pPr>
      <w:r>
        <w:rPr>
          <w:color w:val="003366"/>
        </w:rPr>
        <w:t>6. Discussion</w:t>
      </w:r>
    </w:p>
    <w:p>
      <w:pPr>
        <w:spacing w:after="120" w:line="320" w:lineRule="exact"/>
      </w:pPr>
      <w:r>
        <w:rPr>
          <w:b w:val="0"/>
          <w:i w:val="0"/>
          <w:sz w:val="22"/>
        </w:rPr>
        <w:t>The combination of detector-free deep matching (LoFTR), physics-based illumination normalization, and an interactive 3D Digital Twin constitutes a uniquely end-to-end solution to the SIH26166 problem statement. Unlike prior approaches that treat feature matching and visualization as separate, disconnected workflows, Lumina v3 feeds the output of the AI pipeline directly into the 3D scene as rendered tie-line overlays, closing the loop between analysis and exploration.</w:t>
      </w:r>
    </w:p>
    <w:p>
      <w:pPr>
        <w:spacing w:after="120" w:line="320" w:lineRule="exact"/>
      </w:pPr>
      <w:r>
        <w:rPr>
          <w:b w:val="0"/>
          <w:i w:val="0"/>
          <w:sz w:val="22"/>
        </w:rPr>
        <w:t>The ice classification module, while trained on synthetic data, demonstrates that DFSAR polarimetry features (CPR, DOP) are highly discriminative for sub-surface ice detection. When Chandrayaan-2 DFSAR data becomes publicly available through PRADAN at full resolution, this classifier can be retrained on real observations with minimal architectural modification.</w:t>
      </w:r>
    </w:p>
    <w:p>
      <w:pPr>
        <w:spacing w:after="120" w:line="320" w:lineRule="exact"/>
      </w:pPr>
      <w:r>
        <w:rPr>
          <w:b w:val="0"/>
          <w:i w:val="0"/>
          <w:sz w:val="22"/>
        </w:rPr>
        <w:t>The survival physics simulation (battery drain in shadow, temperature extremes) adds a layer of mission-planning realism that goes beyond the original problem statement, demonstrating the platform's extensibility toward operational mission support.</w:t>
      </w:r>
    </w:p>
    <w:p>
      <w:pPr>
        <w:pStyle w:val="Heading1"/>
      </w:pPr>
      <w:r>
        <w:rPr>
          <w:color w:val="003366"/>
        </w:rPr>
        <w:t>7. Conclusion &amp; Future Work</w:t>
      </w:r>
    </w:p>
    <w:p>
      <w:pPr>
        <w:spacing w:after="120" w:line="320" w:lineRule="exact"/>
      </w:pPr>
      <w:r>
        <w:rPr>
          <w:b w:val="0"/>
          <w:i w:val="0"/>
          <w:sz w:val="22"/>
        </w:rPr>
        <w:t>We have presented Lumina v3, an AI-first framework for multi-modal, sun-angle-invariant, and scale-invariant image correspondence using Chandrayaan-2 optical and radar data. The system achieves state-of-the-art matching performance (78.4% inlier ratio at 20× scale) through LoFTR, robust ice detection (94% accuracy) through Random Forest classification on DFSAR features, and an immersive 3D Digital Twin for interactive lunar exploration.</w:t>
      </w:r>
    </w:p>
    <w:p>
      <w:pPr>
        <w:spacing w:after="120" w:line="320" w:lineRule="exact"/>
      </w:pPr>
      <w:r>
        <w:rPr>
          <w:b/>
          <w:i w:val="0"/>
          <w:sz w:val="22"/>
        </w:rPr>
        <w:t>Future work includes:</w:t>
      </w:r>
    </w:p>
    <w:p>
      <w:pPr>
        <w:pStyle w:val="ListBullet"/>
        <w:spacing w:after="60"/>
      </w:pPr>
      <w:r>
        <w:t>Fine-tuning LoFTR on actual Chandrayaan-2 TMC/OHRC image pairs from PRADAN.</w:t>
      </w:r>
    </w:p>
    <w:p>
      <w:pPr>
        <w:pStyle w:val="ListBullet"/>
        <w:spacing w:after="60"/>
      </w:pPr>
      <w:r>
        <w:t>Integrating IIRS hyperspectral bands for mineralogical overlay in the Digital Twin.</w:t>
      </w:r>
    </w:p>
    <w:p>
      <w:pPr>
        <w:pStyle w:val="ListBullet"/>
        <w:spacing w:after="60"/>
      </w:pPr>
      <w:r>
        <w:t>Deploying the Boids swarm planner as a real-time path optimization engine for multi-rover ISRU campaigns.</w:t>
      </w:r>
    </w:p>
    <w:p>
      <w:pPr>
        <w:pStyle w:val="ListBullet"/>
        <w:spacing w:after="60"/>
      </w:pPr>
      <w:r>
        <w:t>Extending the shadow physics engine with thermal diffusion models for long-duration PSR traverse planning.</w:t>
      </w:r>
    </w:p>
    <w:p>
      <w:pPr>
        <w:pStyle w:val="Heading1"/>
      </w:pPr>
      <w:r>
        <w:rPr>
          <w:color w:val="003366"/>
        </w:rPr>
        <w:t>8. References</w:t>
      </w:r>
    </w:p>
    <w:p>
      <w:pPr>
        <w:spacing w:after="40"/>
      </w:pPr>
      <w:r>
        <w:rPr>
          <w:sz w:val="18"/>
        </w:rPr>
        <w:t>[1] Lowe, D.G. (2004). "Distinctive Image Features from Scale-Invariant Keypoints." International Journal of Computer Vision, 60(2), 91–110.</w:t>
      </w:r>
    </w:p>
    <w:p>
      <w:pPr>
        <w:spacing w:after="40"/>
      </w:pPr>
      <w:r>
        <w:rPr>
          <w:sz w:val="18"/>
        </w:rPr>
        <w:t>[2] Bay, H., Ess, A., Tuytelaars, T., &amp; Van Gool, L. (2008). "SURF: Speeded Up Robust Features." Computer Vision and Image Understanding, 110(3), 346–359.</w:t>
      </w:r>
    </w:p>
    <w:p>
      <w:pPr>
        <w:spacing w:after="40"/>
      </w:pPr>
      <w:r>
        <w:rPr>
          <w:sz w:val="18"/>
        </w:rPr>
        <w:t>[3] Sun, J., Shen, Z., Wang, Y., Bao, H., &amp; Zhou, X. (2021). "LoFTR: Detector-Free Local Feature Matching with Transformers." CVPR 2021.</w:t>
      </w:r>
    </w:p>
    <w:p>
      <w:pPr>
        <w:spacing w:after="40"/>
      </w:pPr>
      <w:r>
        <w:rPr>
          <w:sz w:val="18"/>
        </w:rPr>
        <w:t>[4] DeTone, D., Malisiewicz, T., &amp; Rabinovich, A. (2018). "SuperPoint: Self-Supervised Interest Point Detection and Description." CVPR Workshops.</w:t>
      </w:r>
    </w:p>
    <w:p>
      <w:pPr>
        <w:spacing w:after="40"/>
      </w:pPr>
      <w:r>
        <w:rPr>
          <w:sz w:val="18"/>
        </w:rPr>
        <w:t>[5] Sarlin, P.E., DeTone, D., Malisiewicz, T., &amp; Rabinovich, A. (2020). "SuperGlue: Learning Feature Matching with Graph Neural Networks." CVPR 2020.</w:t>
      </w:r>
    </w:p>
    <w:p>
      <w:pPr>
        <w:spacing w:after="40"/>
      </w:pPr>
      <w:r>
        <w:rPr>
          <w:sz w:val="18"/>
        </w:rPr>
        <w:t>[6] Reynolds, C.W. (1987). "Flocks, Herds, and Schools: A Distributed Behavioral Model." SIGGRAPH '87 Proceedings.</w:t>
      </w:r>
    </w:p>
    <w:p>
      <w:pPr>
        <w:spacing w:after="40"/>
      </w:pPr>
      <w:r>
        <w:rPr>
          <w:sz w:val="18"/>
        </w:rPr>
        <w:t>[7] ISRO. Chandrayaan-2 Data Archive — PRADAN Portal. https://pradan.issdc.gov.in</w:t>
      </w:r>
    </w:p>
    <w:p>
      <w:pPr>
        <w:spacing w:after="40"/>
      </w:pPr>
      <w:r>
        <w:rPr>
          <w:sz w:val="18"/>
        </w:rPr>
        <w:t>[8] NASA PDS Geosciences Node. LRO LOLA Data Products. https://pds-geosciences.wustl.edu</w:t>
      </w:r>
    </w:p>
    <w:p>
      <w:pPr>
        <w:spacing w:after="40"/>
      </w:pPr>
      <w:r>
        <w:rPr>
          <w:sz w:val="18"/>
        </w:rPr>
        <w:t>[9] NASA JPL. Horizons System. https://ssd.jpl.nasa.gov/horizons/</w:t>
      </w:r>
    </w:p>
    <w:p>
      <w:pPr>
        <w:spacing w:after="40"/>
      </w:pPr>
      <w:r>
        <w:rPr>
          <w:sz w:val="18"/>
        </w:rPr>
        <w:t>[10] Rublee, E., Rabaud, V., Konolige, K., &amp; Bradski, G. (2011). "ORB: An Efficient Alternative to SIFT or SURF." ICCV 2011.</w:t>
      </w:r>
    </w:p>
    <w:p>
      <w:r>
        <w:br w:type="page"/>
      </w:r>
    </w:p>
    <w:p>
      <w:pPr>
        <w:pStyle w:val="Heading1"/>
      </w:pPr>
      <w:r>
        <w:rPr>
          <w:color w:val="003366"/>
        </w:rPr>
        <w:t>Appendix A: Live Deployment &amp; Verification</w:t>
      </w:r>
    </w:p>
    <w:p>
      <w:pPr>
        <w:spacing w:after="120" w:line="320" w:lineRule="exact"/>
      </w:pPr>
      <w:r>
        <w:rPr>
          <w:b/>
          <w:i/>
          <w:sz w:val="22"/>
        </w:rPr>
        <w:t>Every dataset used is public and every claim in this paper is independently verifiable. The full methodology is open, reproducible, and already live at the links below.</w:t>
      </w:r>
    </w:p>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color w:val="003366"/>
                <w:sz w:val="22"/>
              </w:rPr>
              <w:t>PROJECT REPOSITORY (GitHub)</w:t>
            </w:r>
          </w:p>
        </w:tc>
        <w:tc>
          <w:tcPr>
            <w:tcW w:type="dxa" w:w="4320"/>
          </w:tcPr>
          <w:p>
            <w:pPr>
              <w:jc w:val="center"/>
            </w:pPr>
            <w:r>
              <w:rPr>
                <w:b/>
                <w:color w:val="003366"/>
                <w:sz w:val="22"/>
              </w:rPr>
              <w:t>LIVE DEPLOYMENT (Vercel)</w:t>
            </w:r>
          </w:p>
        </w:tc>
      </w:tr>
      <w:tr>
        <w:tc>
          <w:tcPr>
            <w:tcW w:type="dxa" w:w="4320"/>
          </w:tcPr>
          <w:p>
            <w:pPr>
              <w:jc w:val="center"/>
            </w:pPr>
            <w:r>
              <w:rPr>
                <w:color w:val="0070C0"/>
                <w:sz w:val="18"/>
                <w:u w:val="single"/>
              </w:rPr>
              <w:t>github.com/saichintamani/Lumina-</w:t>
            </w:r>
          </w:p>
        </w:tc>
        <w:tc>
          <w:tcPr>
            <w:tcW w:type="dxa" w:w="4320"/>
          </w:tcPr>
          <w:p>
            <w:pPr>
              <w:jc w:val="center"/>
            </w:pPr>
            <w:r>
              <w:rPr>
                <w:color w:val="0070C0"/>
                <w:sz w:val="18"/>
                <w:u w:val="single"/>
              </w:rPr>
              <w:t>lumina-zeta-sand.vercel.app</w:t>
            </w:r>
          </w:p>
        </w:tc>
      </w:tr>
      <w:tr>
        <w:tc>
          <w:tcPr>
            <w:tcW w:type="dxa" w:w="4320"/>
          </w:tcPr>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appendix_0.png"/>
                          <pic:cNvPicPr/>
                        </pic:nvPicPr>
                        <pic:blipFill>
                          <a:blip r:embed="rId9"/>
                          <a:stretch>
                            <a:fillRect/>
                          </a:stretch>
                        </pic:blipFill>
                        <pic:spPr>
                          <a:xfrm>
                            <a:off x="0" y="0"/>
                            <a:ext cx="1645920" cy="1645920"/>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qr_appendix_1.png"/>
                          <pic:cNvPicPr/>
                        </pic:nvPicPr>
                        <pic:blipFill>
                          <a:blip r:embed="rId10"/>
                          <a:stretch>
                            <a:fillRect/>
                          </a:stretch>
                        </pic:blipFill>
                        <pic:spPr>
                          <a:xfrm>
                            <a:off x="0" y="0"/>
                            <a:ext cx="1645920" cy="1645920"/>
                          </a:xfrm>
                          <a:prstGeom prst="rect"/>
                        </pic:spPr>
                      </pic:pic>
                    </a:graphicData>
                  </a:graphic>
                </wp:inline>
              </w:drawing>
            </w:r>
          </w:p>
        </w:tc>
      </w:tr>
    </w:tbl>
    <w:p/>
    <w:p>
      <w:pPr>
        <w:pStyle w:val="Heading1"/>
      </w:pPr>
      <w:r>
        <w:rPr>
          <w:color w:val="003366"/>
        </w:rPr>
        <w:t>Appendix B: Additional Resources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URL</w:t>
            </w:r>
          </w:p>
        </w:tc>
      </w:tr>
      <w:tr>
        <w:tc>
          <w:tcPr>
            <w:tcW w:type="dxa" w:w="4320"/>
          </w:tcPr>
          <w:p>
            <w:r>
              <w:t>Kaggle AI Pipeline (Notebook)</w:t>
            </w:r>
          </w:p>
        </w:tc>
        <w:tc>
          <w:tcPr>
            <w:tcW w:type="dxa" w:w="4320"/>
          </w:tcPr>
          <w:p>
            <w:r>
              <w:t>https://www.kaggle.com/code/saichintamaniai/isro-lunar-surface-loftr-feature-matching</w:t>
            </w:r>
          </w:p>
        </w:tc>
      </w:tr>
      <w:tr>
        <w:tc>
          <w:tcPr>
            <w:tcW w:type="dxa" w:w="4320"/>
          </w:tcPr>
          <w:p>
            <w:r>
              <w:t>Kaggle Lunar Dataset</w:t>
            </w:r>
          </w:p>
        </w:tc>
        <w:tc>
          <w:tcPr>
            <w:tcW w:type="dxa" w:w="4320"/>
          </w:tcPr>
          <w:p>
            <w:r>
              <w:t>https://www.kaggle.com/datasets/saichintamaniai/isro-lunar-surface-matching</w:t>
            </w:r>
          </w:p>
        </w:tc>
      </w:tr>
      <w:tr>
        <w:tc>
          <w:tcPr>
            <w:tcW w:type="dxa" w:w="4320"/>
          </w:tcPr>
          <w:p>
            <w:r>
              <w:t>ISRO PRADAN Data Archive</w:t>
            </w:r>
          </w:p>
        </w:tc>
        <w:tc>
          <w:tcPr>
            <w:tcW w:type="dxa" w:w="4320"/>
          </w:tcPr>
          <w:p>
            <w:r>
              <w:t>https://pradan.issdc.gov.in</w:t>
            </w:r>
          </w:p>
        </w:tc>
      </w:tr>
      <w:tr>
        <w:tc>
          <w:tcPr>
            <w:tcW w:type="dxa" w:w="4320"/>
          </w:tcPr>
          <w:p>
            <w:r>
              <w:t>ISRO ISSDC/CLASS Portal</w:t>
            </w:r>
          </w:p>
        </w:tc>
        <w:tc>
          <w:tcPr>
            <w:tcW w:type="dxa" w:w="4320"/>
          </w:tcPr>
          <w:p>
            <w:r>
              <w:t>https://www.issdc.gov.in</w:t>
            </w:r>
          </w:p>
        </w:tc>
      </w:tr>
      <w:tr>
        <w:tc>
          <w:tcPr>
            <w:tcW w:type="dxa" w:w="4320"/>
          </w:tcPr>
          <w:p>
            <w:r>
              <w:t>NASA PDS Geosciences Node</w:t>
            </w:r>
          </w:p>
        </w:tc>
        <w:tc>
          <w:tcPr>
            <w:tcW w:type="dxa" w:w="4320"/>
          </w:tcPr>
          <w:p>
            <w:r>
              <w:t>https://pds-geosciences.wustl.edu</w:t>
            </w:r>
          </w:p>
        </w:tc>
      </w:tr>
      <w:tr>
        <w:tc>
          <w:tcPr>
            <w:tcW w:type="dxa" w:w="4320"/>
          </w:tcPr>
          <w:p>
            <w:r>
              <w:t>NASA JPL Horizons Ephemeris</w:t>
            </w:r>
          </w:p>
        </w:tc>
        <w:tc>
          <w:tcPr>
            <w:tcW w:type="dxa" w:w="4320"/>
          </w:tcPr>
          <w:p>
            <w:r>
              <w:t>https://ssd.jpl.nasa.gov/horizons/</w:t>
            </w:r>
          </w:p>
        </w:tc>
      </w:tr>
      <w:tr>
        <w:tc>
          <w:tcPr>
            <w:tcW w:type="dxa" w:w="4320"/>
          </w:tcPr>
          <w:p>
            <w:r>
              <w:t>ISRO Official Portal</w:t>
            </w:r>
          </w:p>
        </w:tc>
        <w:tc>
          <w:tcPr>
            <w:tcW w:type="dxa" w:w="4320"/>
          </w:tcPr>
          <w:p>
            <w:r>
              <w:t>https://isro.gov.in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