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4305300" cy="1320800"/>
            <wp:docPr id="0" name="Drawing 0" descr="logo.png"/>
            <a:graphic xmlns:a="http://schemas.openxmlformats.org/drawingml/2006/main">
              <a:graphicData uri="http://schemas.openxmlformats.org/drawingml/2006/picture">
                <pic:pic xmlns:pic="http://schemas.openxmlformats.org/drawingml/2006/picture">
                  <pic:nvPicPr>
                    <pic:cNvPr id="0" name="Picture 0" descr="logo.png"/>
                    <pic:cNvPicPr>
                      <a:picLocks noChangeAspect="true"/>
                    </pic:cNvPicPr>
                  </pic:nvPicPr>
                  <pic:blipFill>
                    <a:blip r:embed="rId3"/>
                    <a:stretch>
                      <a:fillRect/>
                    </a:stretch>
                  </pic:blipFill>
                  <pic:spPr>
                    <a:xfrm>
                      <a:off x="0" y="0"/>
                      <a:ext cx="4305300" cy="1320800"/>
                    </a:xfrm>
                    <a:prstGeom prst="rect">
                      <a:avLst/>
                    </a:prstGeom>
                  </pic:spPr>
                </pic:pic>
              </a:graphicData>
            </a:graphic>
          </wp:inline>
        </w:drawing>
      </w:r>
    </w:p>
    <w:p>
      <w:pPr>
        <w:jc w:val="center"/>
      </w:pPr>
      <w:r>
        <w:drawing>
          <wp:inline distT="0" distR="0" distB="0" distL="0">
            <wp:extent cx="4838700" cy="88900"/>
            <wp:docPr id="1" name="Drawing 1" descr="under-line.png"/>
            <a:graphic xmlns:a="http://schemas.openxmlformats.org/drawingml/2006/main">
              <a:graphicData uri="http://schemas.openxmlformats.org/drawingml/2006/picture">
                <pic:pic xmlns:pic="http://schemas.openxmlformats.org/drawingml/2006/picture">
                  <pic:nvPicPr>
                    <pic:cNvPr id="0" name="Picture 1" descr="under-line.png"/>
                    <pic:cNvPicPr>
                      <a:picLocks noChangeAspect="true"/>
                    </pic:cNvPicPr>
                  </pic:nvPicPr>
                  <pic:blipFill>
                    <a:blip r:embed="rId4"/>
                    <a:stretch>
                      <a:fillRect/>
                    </a:stretch>
                  </pic:blipFill>
                  <pic:spPr>
                    <a:xfrm>
                      <a:off x="0" y="0"/>
                      <a:ext cx="4838700" cy="889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r>
    </w:p>
    <w:p>
      <w:pPr>
        <w:jc w:val="center"/>
      </w:pPr>
      <w:r>
        <w:rPr>
          <w:rFonts w:ascii="Times New Roman" w:hAnsi="Times New Roman" w:cs="Times New Roman" w:eastAsia="Times New Roman"/>
          <w:b w:val="true"/>
          <w:i w:val="true"/>
          <w:highlight/>
          <w:u w:val="single"/>
        </w:rPr>
        <w:t>Premierère séance</w:t>
      </w:r>
    </w:p>
    <w:p>
      <w:r>
        <w:rPr>
          <w:rFonts w:ascii="Garamond" w:hAnsi="Garamond" w:cs="Garamond" w:eastAsia="Garamond"/>
          <w:b w:val="true"/>
          <w:sz w:val="24"/>
        </w:rPr>
        <w:t>Le 07/06/2022 à 10h30</w:t>
      </w:r>
      <w:r>
        <w:rPr>
          <w:rFonts w:ascii="Garamond" w:hAnsi="Garamond" w:cs="Garamond" w:eastAsia="Garamond"/>
          <w:sz w:val="22"/>
        </w:rPr>
        <w:t>, la commission d’appel d’offres, conformément à la décision du directeur provincial de l’AREF-DT à Zagora</w:t>
      </w:r>
      <w:r>
        <w:rPr>
          <w:rFonts w:ascii="Garamond" w:hAnsi="Garamond" w:cs="Garamond" w:eastAsia="Garamond"/>
          <w:b w:val="true"/>
          <w:sz w:val="22"/>
        </w:rPr>
        <w:t xml:space="preserve"> N°06/2022 du 04/05/2022 </w:t>
      </w:r>
      <w:r>
        <w:rPr>
          <w:rFonts w:ascii="Garamond" w:hAnsi="Garamond" w:cs="Garamond" w:eastAsia="Garamond"/>
          <w:sz w:val="22"/>
        </w:rPr>
        <w:t>est composée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pPr>
        <w:spacing w:afterLines="1"/>
        <w:ind w:firstLine="720"/>
        <w:jc w:val="both"/>
      </w:pPr>
      <w:r>
        <w:rPr>
          <w:rFonts w:ascii="Times New Roman" w:hAnsi="Times New Roman" w:cs="Times New Roman" w:eastAsia="Times New Roman"/>
          <w:sz w:val="22"/>
        </w:rPr>
        <w:t>S’est réunie en séance publique à la salle des réunions au siègede la direction provinciale de l’AREF-DT à Zagora en vue de procéder à l’ouverture des plis concernant l’appel d’offres ouvert sur offre de prix n°:</w:t>
      </w:r>
      <w:r>
        <w:rPr>
          <w:rFonts w:ascii="Times New Roman" w:hAnsi="Times New Roman" w:cs="Times New Roman" w:eastAsia="Times New Roman"/>
          <w:b w:val="true"/>
          <w:sz w:val="22"/>
        </w:rPr>
        <w:t>35/ZAG/2022</w:t>
      </w:r>
      <w:r>
        <w:rPr>
          <w:rFonts w:ascii="Times New Roman" w:hAnsi="Times New Roman" w:cs="Times New Roman" w:eastAsia="Times New Roman"/>
          <w:sz w:val="22"/>
        </w:rPr>
        <w:t xml:space="preserve"> ayant pour objet :</w:t>
      </w:r>
      <w:r>
        <w:rPr>
          <w:rFonts w:ascii="Times New Roman" w:hAnsi="Times New Roman" w:cs="Times New Roman" w:eastAsia="Times New Roman"/>
          <w:b w:val="true"/>
          <w:sz w:val="22"/>
        </w:rPr>
        <w:t>APPROVISIONNEMENT DES INTERNATS ET CANTINES DES ÉTABLISSEMENTS SCOLAIRES EN MATIÈRE DE POULETS ET ŒUFS.</w:t>
      </w:r>
    </w:p>
    <w:p>
      <w:r>
        <w:t>Et ce, conformément:</w:t>
        <w:br/>
      </w:r>
    </w:p>
    <w:p>
      <w:r>
        <w:rPr>
          <w:rFonts w:ascii="Tw Cen MT" w:hAnsi="Tw Cen MT" w:cs="Tw Cen MT" w:eastAsia="Tw Cen MT"/>
          <w:b w:val="true"/>
          <w:sz w:val="22"/>
        </w:rPr>
        <w:t>⚫  À l’avis publié dans les journaux:</w:t>
      </w:r>
    </w:p>
    <w:p>
      <w:pPr>
        <w:ind w:firstLine="300"/>
      </w:pPr>
      <w:r>
        <w:rPr>
          <w:rFonts w:ascii="Tw Cen MT" w:hAnsi="Tw Cen MT" w:cs="Tw Cen MT" w:eastAsia="Tw Cen MT"/>
          <w:b w:val="true"/>
        </w:rPr>
        <w:t>- LIBERATION :9922 du 21-22/06/2022 page: 23</w:t>
      </w:r>
    </w:p>
    <w:p>
      <w:pPr>
        <w:ind w:firstLine="300"/>
      </w:pPr>
      <w:r>
        <w:rPr>
          <w:rFonts w:ascii="Tw Cen MT" w:hAnsi="Tw Cen MT" w:cs="Tw Cen MT" w:eastAsia="Tw Cen MT"/>
          <w:b w:val="true"/>
        </w:rPr>
        <w:t>- RESSALAT AL OMMA :1253 du 22-23/07/2023 page: 14</w:t>
      </w:r>
    </w:p>
    <w:p>
      <w:pPr>
        <w:ind w:firstLine="300"/>
      </w:pPr>
      <w:r>
        <w:rPr>
          <w:b w:val="true"/>
        </w:rPr>
        <w:t>- Le portail des marchés publics: www.marchespublics.gov.ma en date du 23/05/2021 a 12:44</w:t>
        <w:br/>
      </w:r>
    </w:p>
    <w:p>
      <w:r>
        <w:rPr>
          <w:rFonts w:ascii="Tw Cen MT" w:hAnsi="Tw Cen MT" w:cs="Tw Cen MT" w:eastAsia="Tw Cen MT"/>
        </w:rPr>
        <w:t>A l’ouverture de la séance, Le Président dépose sur le bureau tous les plis reçus, à savoir :</w:t>
        <w:br/>
      </w:r>
    </w:p>
    <w:p>
      <w:pPr>
        <w:ind w:firstLine="300"/>
      </w:pPr>
      <w:r>
        <w:rPr>
          <w:rFonts w:ascii="Tw Cen MT" w:hAnsi="Tw Cen MT" w:cs="Tw Cen MT" w:eastAsia="Tw Cen MT"/>
        </w:rPr>
        <w:t xml:space="preserve">1.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2.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accède via le portail des marchés publics aux offres électroniques :</w:t>
      </w:r>
      <w:r>
        <w:rPr>
          <w:rFonts w:ascii="Tw Cen MT" w:hAnsi="Tw Cen MT" w:cs="Tw Cen MT" w:eastAsia="Tw Cen MT"/>
          <w:b w:val="true"/>
        </w:rPr>
        <w:t>1 offres reçues.</w:t>
      </w:r>
    </w:p>
    <w:p>
      <w:r>
        <w:rPr>
          <w:rFonts w:ascii="Tw Cen MT" w:hAnsi="Tw Cen MT" w:cs="Tw Cen MT" w:eastAsia="Tw Cen MT"/>
        </w:rPr>
        <w:t>Le président accède via le portail des marchés publics aux offres électroniques :03offres reçues. Et invite ensuite les concurrents présents qui n’auraient pas envoyé ou déposé leurs plis, à les lui remettre séance tenante. Ont répondu à cette invitation :</w:t>
      </w:r>
      <w:r>
        <w:rPr>
          <w:rFonts w:ascii="Tw Cen MT" w:hAnsi="Tw Cen MT" w:cs="Tw Cen MT" w:eastAsia="Tw Cen MT"/>
          <w:b w:val="true"/>
        </w:rPr>
        <w:t>Néant.</w:t>
        <w:br/>
      </w:r>
    </w:p>
    <w:p>
      <w:r>
        <w:rPr>
          <w:rFonts w:ascii="Tw Cen MT" w:hAnsi="Tw Cen MT" w:cs="Tw Cen MT" w:eastAsia="Tw Cen MT"/>
        </w:rPr>
        <w:t>Le Président invite les concurrents qui se sont aperçus que leurs dossiers sont incomplets à produire les pièces manquantes sous enveloppes fermées. Ont répondu à cette invitation :</w:t>
      </w:r>
      <w:r>
        <w:rPr>
          <w:rFonts w:ascii="Tw Cen MT" w:hAnsi="Tw Cen MT" w:cs="Tw Cen MT" w:eastAsia="Tw Cen MT"/>
          <w:b w:val="true"/>
        </w:rPr>
        <w:t>Néant.</w:t>
        <w:br/>
      </w:r>
    </w:p>
    <w:p>
      <w:r>
        <w:rPr>
          <w:rFonts w:ascii="Tw Cen MT" w:hAnsi="Tw Cen MT" w:cs="Tw Cen MT" w:eastAsia="Tw Cen MT"/>
        </w:rPr>
        <w:t>Le président arrête, alors définitivement la liste des plis reçus ou déposés, comme suit :</w:t>
      </w:r>
    </w:p>
    <w:p>
      <w:pPr>
        <w:ind w:firstLine="300"/>
      </w:pPr>
      <w:r>
        <w:rPr>
          <w:rFonts w:ascii="Tw Cen MT" w:hAnsi="Tw Cen MT" w:cs="Tw Cen MT" w:eastAsia="Tw Cen MT"/>
        </w:rPr>
        <w:t xml:space="preserve">1.  </w:t>
      </w:r>
      <w:r>
        <w:rPr>
          <w:rFonts w:ascii="Tw Cen MT" w:hAnsi="Tw Cen MT" w:cs="Tw Cen MT" w:eastAsia="Tw Cen MT"/>
          <w:b w:val="true"/>
        </w:rPr>
        <w:t>STE ALIMENTATION GENERALE OUSSI SARL</w:t>
      </w:r>
      <w:r>
        <w:rPr>
          <w:rFonts w:ascii="Tw Cen MT" w:hAnsi="Tw Cen MT" w:cs="Tw Cen MT" w:eastAsia="Tw Cen MT"/>
        </w:rPr>
        <w:t>,156 Rue OuedZiz Q.I Agadir.</w:t>
      </w:r>
    </w:p>
    <w:p>
      <w:pPr>
        <w:ind w:firstLine="300"/>
      </w:pPr>
      <w:r>
        <w:rPr>
          <w:rFonts w:ascii="Tw Cen MT" w:hAnsi="Tw Cen MT" w:cs="Tw Cen MT" w:eastAsia="Tw Cen MT"/>
        </w:rPr>
        <w:t xml:space="preserve">2.  </w:t>
      </w:r>
      <w:r>
        <w:rPr>
          <w:rFonts w:ascii="Tw Cen MT" w:hAnsi="Tw Cen MT" w:cs="Tw Cen MT" w:eastAsia="Tw Cen MT"/>
          <w:b w:val="true"/>
        </w:rPr>
        <w:t>STE HOUATALIMENT SARL AU 1</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6.  </w:t>
      </w:r>
      <w:r>
        <w:rPr>
          <w:rFonts w:ascii="Tw Cen MT" w:hAnsi="Tw Cen MT" w:cs="Tw Cen MT" w:eastAsia="Tw Cen MT"/>
          <w:b w:val="true"/>
        </w:rPr>
        <w:t>STE SAFOULKI SARL 4</w:t>
      </w:r>
      <w:r>
        <w:rPr>
          <w:rFonts w:ascii="Tw Cen MT" w:hAnsi="Tw Cen MT" w:cs="Tw Cen MT" w:eastAsia="Tw Cen MT"/>
        </w:rPr>
        <w:t>,N°356 AngleAv Al Maghreb AlArabiOuarzazate.</w:t>
      </w:r>
    </w:p>
    <w:p>
      <w:pPr>
        <w:ind w:firstLine="300"/>
      </w:pPr>
      <w:r>
        <w:rPr>
          <w:rFonts w:ascii="Tw Cen MT" w:hAnsi="Tw Cen MT" w:cs="Tw Cen MT" w:eastAsia="Tw Cen MT"/>
        </w:rPr>
        <w:t xml:space="preserve">7.  </w:t>
      </w:r>
      <w:r>
        <w:rPr>
          <w:rFonts w:ascii="Tw Cen MT" w:hAnsi="Tw Cen MT" w:cs="Tw Cen MT" w:eastAsia="Tw Cen MT"/>
          <w:b w:val="true"/>
        </w:rPr>
        <w:t>STE HOUATALIMENT SARL AU 2</w:t>
      </w:r>
      <w:r>
        <w:rPr>
          <w:rFonts w:ascii="Tw Cen MT" w:hAnsi="Tw Cen MT" w:cs="Tw Cen MT" w:eastAsia="Tw Cen MT"/>
        </w:rPr>
        <w:t>,Dr TamgoutNouzrouAoulouz Taroudant.</w:t>
      </w:r>
    </w:p>
    <w:p>
      <w:r>
        <w:rPr>
          <w:rFonts w:ascii="Tw Cen MT" w:hAnsi="Tw Cen MT" w:cs="Tw Cen MT" w:eastAsia="Tw Cen MT"/>
        </w:rPr>
        <w:t>Le président invite les membres présents à poursuivre les travaux de la commission d’appel d’offres. Le président remet le support écrit contenant l’estimation des coûts des prestations dont le montant s’élève à :</w:t>
      </w:r>
      <w:r>
        <w:rPr>
          <w:rFonts w:ascii="Tw Cen MT" w:hAnsi="Tw Cen MT" w:cs="Tw Cen MT" w:eastAsia="Tw Cen MT"/>
          <w:b w:val="true"/>
        </w:rPr>
        <w:t xml:space="preserve"> 2550DHS TTC</w:t>
      </w:r>
      <w:r>
        <w:rPr>
          <w:rFonts w:ascii="Tw Cen MT" w:hAnsi="Tw Cen MT" w:cs="Tw Cen MT" w:eastAsia="Tw Cen MT"/>
        </w:rPr>
        <w:t xml:space="preserve"> (deux mille cinq cent cinquante et zéro Centimes TTC).</w:t>
      </w:r>
    </w:p>
    <w:p>
      <w:r>
        <w:rPr>
          <w:rFonts w:ascii="Tw Cen MT" w:hAnsi="Tw Cen MT" w:cs="Tw Cen MT" w:eastAsia="Tw Cen MT"/>
        </w:rPr>
        <w:t>Le président cite les journaux, les références du portail des marchés publics dans lesquels l’avis d’appel d’offres a été publié.</w:t>
      </w:r>
    </w:p>
    <w:p>
      <w:r>
        <w:rPr>
          <w:rFonts w:ascii="Tw Cen MT" w:hAnsi="Tw Cen MT" w:cs="Tw Cen MT" w:eastAsia="Tw Cen MT"/>
        </w:rPr>
        <w:t>Le président demande aux membres de la commission de formuler leurs observations éventuelles qui entachent la procédure de l’appel d’offres, aucune réserve n’a été soulevée.</w:t>
      </w:r>
    </w:p>
    <w:p>
      <w:r>
        <w:rPr>
          <w:rFonts w:ascii="Tw Cen MT" w:hAnsi="Tw Cen MT" w:cs="Tw Cen MT" w:eastAsia="Tw Cen MT"/>
        </w:rPr>
        <w:t>Le Président ouvre les enveloppes extérieures des plis contenant les dossiers des concurrents, cite la présence des enveloppes exigées, il ouvre ensuite les enveloppes portant la mention « dossiers administratif, et technique», énonce les pièces contenues dans chaque dossier (administratif, et technique) et dresse un état des pièces fournies par chaque concurrent. Cette formalité accomplie, la séance publique est suspendue, les concurrents et le public se retirent de la salle.</w:t>
      </w:r>
    </w:p>
    <w:p>
      <w:r>
        <w:rPr>
          <w:rFonts w:ascii="Tw Cen MT" w:hAnsi="Tw Cen MT" w:cs="Tw Cen MT" w:eastAsia="Tw Cen MT"/>
        </w:rPr>
        <w:t>Ensuite, la commission se réunit à huis clos pour examiner les dossiers administratifs et techniques des concurrents, elle écarte les concurrents ci-après pour les motifs suivants:</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ALIMENTATION GENERALE OUSSI SARL</w:t>
            </w:r>
            <w:r>
              <w:rPr>
                <w:rFonts w:ascii="Times New Roman" w:hAnsi="Times New Roman" w:cs="Times New Roman" w:eastAsia="Times New Roman"/>
                <w:sz w:val="24"/>
              </w:rPr>
              <w:t>, 156 Rue OuedZiz Q.I Agadir</w:t>
            </w:r>
          </w:p>
        </w:tc>
        <w:tc>
          <w:tcPr>
            <w:tcW w:type="pct" w:w="2500"/>
            <w:vAlign w:val="center"/>
          </w:tcPr>
          <w:p>
            <w:pPr>
              <w:jc w:val="center"/>
            </w:pPr>
            <w:r>
              <w:rPr>
                <w:rFonts w:ascii="Times New Roman" w:hAnsi="Times New Roman" w:cs="Times New Roman" w:eastAsia="Times New Roman"/>
                <w:b w:val="true"/>
                <w:sz w:val="24"/>
              </w:rPr>
              <w:t xml:space="preserve">Absence des attestations de référence demandées au Règlement de consultation 0  </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1</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Absence des attestations de référence demandées au Règlement de consultation  1</w:t>
            </w:r>
          </w:p>
        </w:tc>
      </w:tr>
    </w:tbl>
    <w:p>
      <w:r>
        <w:rPr>
          <w:rFonts w:ascii="Tw Cen MT" w:hAnsi="Tw Cen MT" w:cs="Tw Cen MT" w:eastAsia="Tw Cen MT"/>
        </w:rPr>
        <w:t>Elle arrête ensuite la liste des concurrents admissibles en précisant ceux dont les dossiers comportent des erreurs matérielles, ou discordances à rectifier, à savoir :</w:t>
      </w:r>
      <w:r>
        <w:rPr>
          <w:u w:val="single"/>
        </w:rPr>
        <w:t>Liste des concurrents admissibles sans réserve :</w:t>
      </w:r>
    </w:p>
    <w:p>
      <w:pPr>
        <w:ind w:firstLine="300"/>
      </w:pPr>
      <w:r>
        <w:rPr>
          <w:rFonts w:ascii="Tw Cen MT" w:hAnsi="Tw Cen MT" w:cs="Tw Cen MT" w:eastAsia="Tw Cen MT"/>
        </w:rPr>
        <w:t xml:space="preserve">1.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3.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Liste des concurrents admissibles avec réserve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Objet de la réserve</w:t>
            </w:r>
          </w:p>
        </w:tc>
      </w:tr>
      <w:tr>
        <w:trPr>
          <w:trHeight w:val="8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2200 dh</w:t>
            </w:r>
          </w:p>
        </w:tc>
      </w:tr>
    </w:tbl>
    <w:p>
      <w:r>
        <w:rPr>
          <w:rFonts w:ascii="Tw Cen MT" w:hAnsi="Tw Cen MT" w:cs="Tw Cen MT" w:eastAsia="Tw Cen MT"/>
        </w:rPr>
        <w:t>La séance publique est alors reprise et le Président :</w:t>
      </w:r>
    </w:p>
    <w:p>
      <w:r>
        <w:rPr>
          <w:rFonts w:ascii="Tw Cen MT" w:hAnsi="Tw Cen MT" w:cs="Tw Cen MT" w:eastAsia="Tw Cen MT"/>
        </w:rPr>
        <w:t>- Donne lecture de la liste des concurrents admissibles cités ci-dessus en précisant aux concurrents admissibles avec réserve l’objet de celle-ci ;</w:t>
      </w:r>
    </w:p>
    <w:p>
      <w:r>
        <w:rPr>
          <w:rFonts w:ascii="Tw Cen MT" w:hAnsi="Tw Cen MT" w:cs="Tw Cen MT" w:eastAsia="Tw Cen MT"/>
        </w:rPr>
        <w:t xml:space="preserve">- Rend, contre décharge, aux concurrents écartés présents leurs dossiers à l’exception des éléments d’information ayant été à l’origine de leur élimination, il s’agit de : </w:t>
      </w:r>
      <w:r>
        <w:rPr>
          <w:rFonts w:ascii="Tw Cen MT" w:hAnsi="Tw Cen MT" w:cs="Tw Cen MT" w:eastAsia="Tw Cen MT"/>
          <w:b w:val="true"/>
        </w:rPr>
        <w:t>Néant</w:t>
      </w:r>
    </w:p>
    <w:p>
      <w:r>
        <w:rPr>
          <w:rFonts w:ascii="Tw Cen MT" w:hAnsi="Tw Cen MT" w:cs="Tw Cen MT" w:eastAsia="Tw Cen MT"/>
        </w:rPr>
        <w:t>Le Président procède à l'ouverture de l’enveloppe des concurrents admissibles portant la mention « OFFRE FINANCIERE » et donne lecture de la teneur de l’acte d'engagement, comme suit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Rabais /Majoration</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-15.08%</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-33.0%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75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-20.0%</w:t>
            </w:r>
          </w:p>
        </w:tc>
      </w:tr>
    </w:tbl>
    <w:p>
      <w:r>
        <w:rPr>
          <w:rFonts w:ascii="Tw Cen MT" w:hAnsi="Tw Cen MT" w:cs="Tw Cen MT" w:eastAsia="Tw Cen MT"/>
        </w:rPr>
        <w:t>Les membres de la commission paraphent les actes d’engagement et les bordereaux des prix-détail estimatif.</w:t>
      </w:r>
    </w:p>
    <w:p>
      <w:r>
        <w:rPr>
          <w:rFonts w:ascii="Tw Cen MT" w:hAnsi="Tw Cen MT" w:cs="Tw Cen MT" w:eastAsia="Tw Cen MT"/>
        </w:rPr>
        <w:t>Les membres de la commission paraphent les actes d’engagement et les bordereaux des prix-détail estimatif.</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Motif de l’écartement</w:t>
            </w:r>
          </w:p>
        </w:tc>
      </w:tr>
      <w:tr>
        <w:trPr>
          <w:trHeight w:val="1300"/>
        </w:trPr>
        <w:tc>
          <w:tcPr>
            <w:tcW w:type="pct" w:w="25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2500"/>
            <w:vAlign w:val="center"/>
          </w:tcPr>
          <w:p>
            <w:pPr>
              <w:jc w:val="center"/>
            </w:pPr>
            <w:r>
              <w:rPr>
                <w:rFonts w:ascii="Times New Roman" w:hAnsi="Times New Roman" w:cs="Times New Roman" w:eastAsia="Times New Roman"/>
                <w:b w:val="true"/>
                <w:sz w:val="24"/>
              </w:rPr>
              <w:t>test prob</w:t>
            </w:r>
          </w:p>
        </w:tc>
      </w:tr>
    </w:tbl>
    <w:p>
      <w:r>
        <w:rPr>
          <w:rFonts w:ascii="Tw Cen MT" w:hAnsi="Tw Cen MT" w:cs="Tw Cen MT" w:eastAsia="Tw Cen MT"/>
        </w:rPr>
        <w:t>Elle procède ensuite à la vérification des opérations arithmétiques des offres des concurrents retenus et rectifie les erreurs matérielles évidentes relevées dans leurs actes d’engagement. Les rectifications donnent les résultats suivants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800"/>
        </w:trPr>
        <w:tc>
          <w:tcPr>
            <w:tcW w:type="pct" w:w="2500"/>
            <w:vAlign w:val="center"/>
          </w:tcPr>
          <w:p>
            <w:pPr>
              <w:jc w:val="center"/>
            </w:pPr>
            <w:r>
              <w:rPr>
                <w:rFonts w:ascii="Times New Roman" w:hAnsi="Times New Roman" w:cs="Times New Roman" w:eastAsia="Times New Roman"/>
                <w:b w:val="true"/>
                <w:sz w:val="24"/>
              </w:rPr>
              <w:t>Concurrents</w:t>
            </w:r>
          </w:p>
        </w:tc>
        <w:tc>
          <w:tcPr>
            <w:tcW w:type="pct" w:w="2500"/>
            <w:vAlign w:val="center"/>
          </w:tcPr>
          <w:p>
            <w:pPr>
              <w:jc w:val="center"/>
            </w:pPr>
            <w:r>
              <w:rPr>
                <w:rFonts w:ascii="Times New Roman" w:hAnsi="Times New Roman" w:cs="Times New Roman" w:eastAsia="Times New Roman"/>
                <w:b w:val="true"/>
                <w:sz w:val="24"/>
              </w:rPr>
              <w:t>Montant des actes 
 d’engagement en 
 dirhams TTC</w:t>
            </w:r>
          </w:p>
        </w:tc>
        <w:tc>
          <w:tcPr>
            <w:tcW w:type="pct" w:w="2500"/>
            <w:vAlign w:val="center"/>
          </w:tcPr>
          <w:p>
            <w:pPr>
              <w:jc w:val="center"/>
            </w:pPr>
            <w:r>
              <w:rPr>
                <w:rFonts w:ascii="Times New Roman" w:hAnsi="Times New Roman" w:cs="Times New Roman" w:eastAsia="Times New Roman"/>
                <w:b w:val="true"/>
                <w:sz w:val="24"/>
              </w:rPr>
              <w:t>Montant des actes  d’engagement rectifiés en dirhams TTC</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2</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2165.46</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3</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1708.5</w:t>
            </w:r>
          </w:p>
        </w:tc>
      </w:tr>
      <w:tr>
        <w:trPr>
          <w:trHeight w:val="1300"/>
        </w:trPr>
        <w:tc>
          <w:tcPr>
            <w:tcW w:type="pct" w:w="3000"/>
            <w:vAlign w:val="center"/>
          </w:tcPr>
          <w:p>
            <w:pPr>
              <w:jc w:val="left"/>
            </w:pPr>
            <w:r>
              <w:rPr>
                <w:rFonts w:ascii="Times New Roman" w:hAnsi="Times New Roman" w:cs="Times New Roman" w:eastAsia="Times New Roman"/>
                <w:b w:val="true"/>
                <w:sz w:val="24"/>
              </w:rPr>
              <w:t>STE SAFOULKI SARL 4</w:t>
            </w:r>
            <w:r>
              <w:rPr>
                <w:rFonts w:ascii="Times New Roman" w:hAnsi="Times New Roman" w:cs="Times New Roman" w:eastAsia="Times New Roman"/>
                <w:sz w:val="24"/>
              </w:rPr>
              <w:t>, N°356 AngleAv Al Maghreb AlArabiOuarzazate</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3060.0</w:t>
            </w:r>
          </w:p>
        </w:tc>
      </w:tr>
      <w:tr>
        <w:trPr>
          <w:trHeight w:val="1300"/>
        </w:trPr>
        <w:tc>
          <w:tcPr>
            <w:tcW w:type="pct" w:w="3000"/>
            <w:vAlign w:val="center"/>
          </w:tcPr>
          <w:p>
            <w:pPr>
              <w:jc w:val="left"/>
            </w:pPr>
            <w:r>
              <w:rPr>
                <w:rFonts w:ascii="Times New Roman" w:hAnsi="Times New Roman" w:cs="Times New Roman" w:eastAsia="Times New Roman"/>
                <w:b w:val="true"/>
                <w:sz w:val="24"/>
              </w:rPr>
              <w:t>STE HOUATALIMENT SARL AU 2</w:t>
            </w:r>
            <w:r>
              <w:rPr>
                <w:rFonts w:ascii="Times New Roman" w:hAnsi="Times New Roman" w:cs="Times New Roman" w:eastAsia="Times New Roman"/>
                <w:sz w:val="24"/>
              </w:rPr>
              <w:t>, Dr TamgoutNouzrouAoulouz Taroudant</w:t>
            </w:r>
          </w:p>
        </w:tc>
        <w:tc>
          <w:tcPr>
            <w:tcW w:type="pct" w:w="500"/>
            <w:vAlign w:val="center"/>
          </w:tcPr>
          <w:p>
            <w:pPr>
              <w:jc w:val="center"/>
            </w:pPr>
            <w:r>
              <w:rPr>
                <w:rFonts w:ascii="Times New Roman" w:hAnsi="Times New Roman" w:cs="Times New Roman" w:eastAsia="Times New Roman"/>
                <w:b w:val="true"/>
                <w:sz w:val="24"/>
              </w:rPr>
              <w:t>22022.09</w:t>
            </w:r>
          </w:p>
        </w:tc>
        <w:tc>
          <w:tcPr>
            <w:tcW w:type="pct" w:w="1250"/>
            <w:vAlign w:val="center"/>
          </w:tcPr>
          <w:p>
            <w:pPr>
              <w:jc w:val="center"/>
            </w:pPr>
            <w:r>
              <w:rPr>
                <w:rFonts w:ascii="Times New Roman" w:hAnsi="Times New Roman" w:cs="Times New Roman" w:eastAsia="Times New Roman"/>
                <w:b w:val="true"/>
                <w:sz w:val="24"/>
              </w:rPr>
              <w:t>2040.0</w:t>
            </w:r>
          </w:p>
        </w:tc>
      </w:tr>
    </w:tbl>
    <w:p>
      <w:r>
        <w:rPr>
          <w:rFonts w:ascii="Tw Cen MT" w:hAnsi="Tw Cen MT" w:cs="Tw Cen MT" w:eastAsia="Tw Cen MT"/>
        </w:rPr>
        <w:t>La commission procède ensuite au classement des offres des concurrents suivant les critères fixés au règlement de consultation.</w:t>
      </w:r>
    </w:p>
    <w:p>
      <w:r>
        <w:rPr>
          <w:rFonts w:ascii="Tw Cen MT" w:hAnsi="Tw Cen MT" w:cs="Tw Cen MT" w:eastAsia="Tw Cen MT"/>
        </w:rPr>
        <w:t>Ce classement donne les résultats suivants :</w:t>
      </w:r>
    </w:p>
    <w:p>
      <w:pPr>
        <w:ind w:firstLine="300"/>
      </w:pPr>
      <w:r>
        <w:rPr>
          <w:rFonts w:ascii="Tw Cen MT" w:hAnsi="Tw Cen MT" w:cs="Tw Cen MT" w:eastAsia="Tw Cen MT"/>
        </w:rPr>
        <w:t xml:space="preserve">1.  </w:t>
      </w:r>
      <w:r>
        <w:rPr>
          <w:rFonts w:ascii="Tw Cen MT" w:hAnsi="Tw Cen MT" w:cs="Tw Cen MT" w:eastAsia="Tw Cen MT"/>
          <w:b w:val="true"/>
        </w:rPr>
        <w:t>STE SAFOULKI SARL 3</w:t>
      </w:r>
      <w:r>
        <w:rPr>
          <w:rFonts w:ascii="Tw Cen MT" w:hAnsi="Tw Cen MT" w:cs="Tw Cen MT" w:eastAsia="Tw Cen MT"/>
        </w:rPr>
        <w:t>,N°356 AngleAv Al Maghreb AlArabiOuarzazate.</w:t>
      </w:r>
    </w:p>
    <w:p>
      <w:pPr>
        <w:ind w:firstLine="300"/>
      </w:pPr>
      <w:r>
        <w:rPr>
          <w:rFonts w:ascii="Tw Cen MT" w:hAnsi="Tw Cen MT" w:cs="Tw Cen MT" w:eastAsia="Tw Cen MT"/>
        </w:rPr>
        <w:t xml:space="preserve">2.  </w:t>
      </w:r>
      <w:r>
        <w:rPr>
          <w:rFonts w:ascii="Tw Cen MT" w:hAnsi="Tw Cen MT" w:cs="Tw Cen MT" w:eastAsia="Tw Cen MT"/>
          <w:b w:val="true"/>
        </w:rPr>
        <w:t>STE HOUATALIMENT SARL AU 2</w:t>
      </w:r>
      <w:r>
        <w:rPr>
          <w:rFonts w:ascii="Tw Cen MT" w:hAnsi="Tw Cen MT" w:cs="Tw Cen MT" w:eastAsia="Tw Cen MT"/>
        </w:rPr>
        <w:t>,Dr TamgoutNouzrouAoulouz Taroudant.</w:t>
      </w:r>
    </w:p>
    <w:p>
      <w:pPr>
        <w:ind w:firstLine="300"/>
      </w:pPr>
      <w:r>
        <w:rPr>
          <w:rFonts w:ascii="Tw Cen MT" w:hAnsi="Tw Cen MT" w:cs="Tw Cen MT" w:eastAsia="Tw Cen MT"/>
        </w:rPr>
        <w:t xml:space="preserve">3.  </w:t>
      </w:r>
      <w:r>
        <w:rPr>
          <w:rFonts w:ascii="Tw Cen MT" w:hAnsi="Tw Cen MT" w:cs="Tw Cen MT" w:eastAsia="Tw Cen MT"/>
          <w:b w:val="true"/>
        </w:rPr>
        <w:t>STE SAFOULKI SARL 2</w:t>
      </w:r>
      <w:r>
        <w:rPr>
          <w:rFonts w:ascii="Tw Cen MT" w:hAnsi="Tw Cen MT" w:cs="Tw Cen MT" w:eastAsia="Tw Cen MT"/>
        </w:rPr>
        <w:t>,N°356 AngleAv Al Maghreb AlArabiOuarzazate.</w:t>
      </w:r>
    </w:p>
    <w:p>
      <w:pPr>
        <w:ind w:firstLine="300"/>
      </w:pPr>
      <w:r>
        <w:rPr>
          <w:rFonts w:ascii="Tw Cen MT" w:hAnsi="Tw Cen MT" w:cs="Tw Cen MT" w:eastAsia="Tw Cen MT"/>
        </w:rPr>
        <w:t xml:space="preserve">4.  </w:t>
      </w:r>
      <w:r>
        <w:rPr>
          <w:rFonts w:ascii="Tw Cen MT" w:hAnsi="Tw Cen MT" w:cs="Tw Cen MT" w:eastAsia="Tw Cen MT"/>
          <w:b w:val="true"/>
        </w:rPr>
        <w:t>STE SAFOULKI SARL</w:t>
      </w:r>
      <w:r>
        <w:rPr>
          <w:rFonts w:ascii="Tw Cen MT" w:hAnsi="Tw Cen MT" w:cs="Tw Cen MT" w:eastAsia="Tw Cen MT"/>
        </w:rPr>
        <w:t>,N°356 AngleAv Al Maghreb AlArabiOuarzazate.</w:t>
      </w:r>
    </w:p>
    <w:p>
      <w:pPr>
        <w:ind w:firstLine="300"/>
      </w:pPr>
      <w:r>
        <w:rPr>
          <w:rFonts w:ascii="Tw Cen MT" w:hAnsi="Tw Cen MT" w:cs="Tw Cen MT" w:eastAsia="Tw Cen MT"/>
        </w:rPr>
        <w:t xml:space="preserve">5.  </w:t>
      </w:r>
      <w:r>
        <w:rPr>
          <w:rFonts w:ascii="Tw Cen MT" w:hAnsi="Tw Cen MT" w:cs="Tw Cen MT" w:eastAsia="Tw Cen MT"/>
          <w:b w:val="true"/>
        </w:rPr>
        <w:t>STE SAFOULKI SARL 4</w:t>
      </w:r>
      <w:r>
        <w:rPr>
          <w:rFonts w:ascii="Tw Cen MT" w:hAnsi="Tw Cen MT" w:cs="Tw Cen MT" w:eastAsia="Tw Cen MT"/>
        </w:rPr>
        <w:t>,N°356 AngleAv Al Maghreb AlArabiOuarzazate.</w:t>
      </w:r>
    </w:p>
    <w:p>
      <w:r>
        <w:rPr>
          <w:rFonts w:ascii="Tw Cen MT" w:hAnsi="Tw Cen MT" w:cs="Tw Cen MT" w:eastAsia="Tw Cen MT"/>
        </w:rPr>
        <w:t xml:space="preserve">La commission invite par faxe confirmé, le concurrent ayant présenté l’offre la plus avantageuse qui est </w:t>
      </w:r>
      <w:r>
        <w:rPr>
          <w:rFonts w:ascii="Tw Cen MT" w:hAnsi="Tw Cen MT" w:cs="Tw Cen MT" w:eastAsia="Tw Cen MT"/>
          <w:b w:val="true"/>
        </w:rPr>
        <w:t>STE SAFOULKI SARL 3</w:t>
      </w:r>
      <w:r>
        <w:rPr>
          <w:rFonts w:ascii="Tw Cen MT" w:hAnsi="Tw Cen MT" w:cs="Tw Cen MT" w:eastAsia="Tw Cen MT"/>
        </w:rPr>
        <w:t>N°356 AngleAv Al Maghreb AlArabiOuarzazate; à :</w:t>
      </w:r>
    </w:p>
    <w:p>
      <w:pPr>
        <w:ind w:firstLine="800"/>
      </w:pPr>
      <w:r>
        <w:rPr>
          <w:rFonts w:ascii="Tw Cen MT" w:hAnsi="Tw Cen MT" w:cs="Tw Cen MT" w:eastAsia="Tw Cen MT"/>
        </w:rPr>
        <w:t>1.	Produire les pièces du dossier administratif prévues par le règlement de la consultation.</w:t>
      </w:r>
    </w:p>
    <w:p>
      <w:r>
        <w:rPr>
          <w:rFonts w:ascii="Tw Cen MT" w:hAnsi="Tw Cen MT" w:cs="Tw Cen MT" w:eastAsia="Tw Cen MT"/>
          <w:b w:val="true"/>
          <w:sz w:val="24"/>
        </w:rPr>
        <w:t>Et ce avant le 28/06/2022 à 16:45, délai de rigueur.</w:t>
      </w:r>
    </w:p>
    <w:p>
      <w:r>
        <w:rPr>
          <w:rFonts w:ascii="Tw Cen MT" w:hAnsi="Tw Cen MT" w:cs="Tw Cen MT" w:eastAsia="Tw Cen MT"/>
        </w:rPr>
        <w:t xml:space="preserve">Le président suspend la séance et fixe la date du </w:t>
      </w:r>
      <w:r>
        <w:rPr>
          <w:rFonts w:ascii="Tw Cen MT" w:hAnsi="Tw Cen MT" w:cs="Tw Cen MT" w:eastAsia="Tw Cen MT"/>
          <w:b w:val="true"/>
          <w:u w:val="single"/>
        </w:rPr>
        <w:t xml:space="preserve"> 29/06/2022 à 15:05 </w:t>
      </w:r>
      <w:r>
        <w:rPr>
          <w:rFonts w:ascii="Tw Cen MT" w:hAnsi="Tw Cen MT" w:cs="Tw Cen MT" w:eastAsia="Tw Cen MT"/>
        </w:rPr>
        <w:t xml:space="preserve"> pour la reprise des travaux de la séance, toutefois le président peut inviter les membres de la commission pour reprendre ses travaux dès réception de la réponse du concurrent concerné.</w:t>
      </w:r>
    </w:p>
    <w:p>
      <w:pPr>
        <w:jc w:val="right"/>
      </w:pPr>
      <w:r>
        <w:rPr>
          <w:rFonts w:ascii="Tw Cen MT" w:hAnsi="Tw Cen MT" w:cs="Tw Cen MT" w:eastAsia="Tw Cen MT"/>
          <w:u w:val="single"/>
        </w:rPr>
        <w:t>Fait à Zagora, le : 16/09/2022</w:t>
      </w:r>
    </w:p>
    <w:p>
      <w:r>
        <w:rPr>
          <w:rFonts w:ascii="Tw Cen MT" w:hAnsi="Tw Cen MT" w:cs="Tw Cen MT" w:eastAsia="Tw Cen MT"/>
          <w:b w:val="true"/>
          <w:u w:val="single"/>
        </w:rPr>
        <w:t>Emargement des membres de la commission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TEST</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r>
        <w:br w:type="page"/>
      </w:r>
    </w:p>
    <w:p>
      <w:pPr>
        <w:jc w:val="center"/>
      </w:pPr>
      <w:r>
        <w:drawing>
          <wp:inline distT="0" distR="0" distB="0" distL="0">
            <wp:extent cx="4305300" cy="1320800"/>
            <wp:docPr id="2" name="Drawing 2" descr="logo.png"/>
            <a:graphic xmlns:a="http://schemas.openxmlformats.org/drawingml/2006/main">
              <a:graphicData uri="http://schemas.openxmlformats.org/drawingml/2006/picture">
                <pic:pic xmlns:pic="http://schemas.openxmlformats.org/drawingml/2006/picture">
                  <pic:nvPicPr>
                    <pic:cNvPr id="0" name="Picture 2" descr="logo.png"/>
                    <pic:cNvPicPr>
                      <a:picLocks noChangeAspect="true"/>
                    </pic:cNvPicPr>
                  </pic:nvPicPr>
                  <pic:blipFill>
                    <a:blip r:embed="rId3"/>
                    <a:stretch>
                      <a:fillRect/>
                    </a:stretch>
                  </pic:blipFill>
                  <pic:spPr>
                    <a:xfrm>
                      <a:off x="0" y="0"/>
                      <a:ext cx="4305300" cy="1320800"/>
                    </a:xfrm>
                    <a:prstGeom prst="rect">
                      <a:avLst/>
                    </a:prstGeom>
                  </pic:spPr>
                </pic:pic>
              </a:graphicData>
            </a:graphic>
          </wp:inline>
        </w:drawing>
      </w:r>
    </w:p>
    <w:p>
      <w:pPr>
        <w:jc w:val="center"/>
      </w:pPr>
      <w:r>
        <w:drawing>
          <wp:inline distT="0" distR="0" distB="0" distL="0">
            <wp:extent cx="4838700" cy="88900"/>
            <wp:docPr id="3" name="Drawing 3" descr="under-line.png"/>
            <a:graphic xmlns:a="http://schemas.openxmlformats.org/drawingml/2006/main">
              <a:graphicData uri="http://schemas.openxmlformats.org/drawingml/2006/picture">
                <pic:pic xmlns:pic="http://schemas.openxmlformats.org/drawingml/2006/picture">
                  <pic:nvPicPr>
                    <pic:cNvPr id="0" name="Picture 3" descr="under-line.png"/>
                    <pic:cNvPicPr>
                      <a:picLocks noChangeAspect="true"/>
                    </pic:cNvPicPr>
                  </pic:nvPicPr>
                  <pic:blipFill>
                    <a:blip r:embed="rId4"/>
                    <a:stretch>
                      <a:fillRect/>
                    </a:stretch>
                  </pic:blipFill>
                  <pic:spPr>
                    <a:xfrm>
                      <a:off x="0" y="0"/>
                      <a:ext cx="4838700" cy="88900"/>
                    </a:xfrm>
                    <a:prstGeom prst="rect">
                      <a:avLst/>
                    </a:prstGeom>
                  </pic:spPr>
                </pic:pic>
              </a:graphicData>
            </a:graphic>
          </wp:inline>
        </w:drawing>
      </w:r>
    </w:p>
    <w:p>
      <w:pPr>
        <w:jc w:val="center"/>
      </w:pPr>
      <w:r>
        <w:rPr>
          <w:rFonts w:ascii="Univers 57 Condensed" w:hAnsi="Univers 57 Condensed" w:cs="Univers 57 Condensed" w:eastAsia="Univers 57 Condensed"/>
          <w:b w:val="true"/>
          <w:sz w:val="22"/>
          <w:u w:val="single"/>
        </w:rPr>
        <w:t>AOO N° 35/ZAG/2022</w:t>
      </w:r>
    </w:p>
    <w:p>
      <w:pPr>
        <w:ind w:firstLine="720"/>
      </w:pPr>
      <w:r>
        <w:rPr>
          <w:rFonts w:ascii="Times New Roman" w:hAnsi="Times New Roman" w:cs="Times New Roman" w:eastAsia="Times New Roman"/>
          <w:sz w:val="22"/>
          <w:u w:val="single"/>
        </w:rPr>
        <w:t>PROCES VERBAL DE LA COMMISSION D'OUVERTURE DES PLIS RELATIF A L'APPEL D'OFFRES OUVERT SUR OFFRE DE PRIX AYANT POUR OBJET:</w:t>
      </w:r>
      <w:r>
        <w:rPr>
          <w:rFonts w:ascii="Times New Roman" w:hAnsi="Times New Roman" w:cs="Times New Roman" w:eastAsia="Times New Roman"/>
          <w:b w:val="true"/>
          <w:sz w:val="24"/>
        </w:rPr>
        <w:t>APPROVISIONNEMENT DES INTERNATS ET CANTINES DES ÉTABLISSEMENTS SCOLAIRES EN MATIÈRE DE POULETS ET ŒUFS</w:t>
      </w:r>
    </w:p>
    <w:p>
      <w:pPr>
        <w:jc w:val="center"/>
      </w:pPr>
      <w:r>
        <w:rPr>
          <w:rFonts w:ascii="Times New Roman" w:hAnsi="Times New Roman" w:cs="Times New Roman" w:eastAsia="Times New Roman"/>
          <w:b w:val="true"/>
          <w:i w:val="true"/>
          <w:highlight/>
          <w:u w:val="single"/>
        </w:rPr>
        <w:t>Deuxième séance</w:t>
      </w:r>
    </w:p>
    <w:p>
      <w:r>
        <w:rPr>
          <w:rFonts w:ascii="Tw Cen MT" w:hAnsi="Tw Cen MT" w:cs="Tw Cen MT" w:eastAsia="Tw Cen MT"/>
        </w:rPr>
        <w:t>Le 02/08/2025 à 10H09, à la suite de la réception du complément du dossier, la commission d’appel d’offres reprend la séance et s’assure du support ayant servi de moyen d’invitation du concurrent concerné (lettre N° : SP 0998/22 du 02/08/2025) et vérifie les pièces et la réponse reçue.</w:t>
      </w:r>
    </w:p>
    <w:p>
      <w:r>
        <w:rPr>
          <w:rFonts w:ascii="Tw Cen MT" w:hAnsi="Tw Cen MT" w:cs="Tw Cen MT" w:eastAsia="Tw Cen MT"/>
        </w:rPr>
        <w:t>Après examen du dossier reçu, la commission juge acceptable ces documents et décide de proposer au maitre d’ouvrage de retenir l’offre qu’elle juge intéressante présentée par :</w:t>
      </w:r>
      <w:r>
        <w:rPr>
          <w:rFonts w:ascii="Tw Cen MT" w:hAnsi="Tw Cen MT" w:cs="Tw Cen MT" w:eastAsia="Tw Cen MT"/>
          <w:b w:val="true"/>
        </w:rPr>
        <w:t>STE ALIMENTATION GENERALE OUSSI SARL</w:t>
      </w:r>
      <w:r>
        <w:rPr>
          <w:rFonts w:ascii="Tw Cen MT" w:hAnsi="Tw Cen MT" w:cs="Tw Cen MT" w:eastAsia="Tw Cen MT"/>
        </w:rPr>
        <w:t>, 156 Rue OuedZiz Q.I Agadir</w:t>
      </w:r>
      <w:r>
        <w:rPr>
          <w:rFonts w:ascii="Tw Cen MT" w:hAnsi="Tw Cen MT" w:cs="Tw Cen MT" w:eastAsia="Tw Cen MT"/>
        </w:rPr>
        <w:t>Ayant présenté l’offre la plus avantageuse, pour un montant de</w:t>
      </w:r>
      <w:r>
        <w:rPr>
          <w:rFonts w:ascii="Tw Cen MT" w:hAnsi="Tw Cen MT" w:cs="Tw Cen MT" w:eastAsia="Tw Cen MT"/>
          <w:b w:val="true"/>
        </w:rPr>
        <w:t xml:space="preserve"> 90.08099 (quatre-vingt-dix et huit Centimes TTC).</w:t>
      </w:r>
    </w:p>
    <w:p>
      <w:pPr>
        <w:jc w:val="right"/>
      </w:pPr>
      <w:r>
        <w:rPr>
          <w:rFonts w:ascii="Tw Cen MT" w:hAnsi="Tw Cen MT" w:cs="Tw Cen MT" w:eastAsia="Tw Cen MT"/>
          <w:u w:val="single"/>
        </w:rPr>
        <w:t>Fait à Zagora, le : 16/09/2022</w:t>
      </w:r>
    </w:p>
    <w:p>
      <w:r>
        <w:rPr>
          <w:rFonts w:ascii="Tw Cen MT" w:hAnsi="Tw Cen MT" w:cs="Tw Cen MT" w:eastAsia="Tw Cen MT"/>
          <w:b w:val="true"/>
          <w:u w:val="single"/>
        </w:rPr>
        <w:t>Emargement des membres de la commission :</w:t>
      </w:r>
    </w:p>
    <w:tbl>
      <w:tblPr>
        <w:tblW w:w="0" w:type="auto"/>
        <w:tblBorders>
          <w:top w:val="single" w:color="000000" w:sz="12"/>
          <w:left w:val="single" w:color="000000" w:sz="12"/>
          <w:bottom w:val="single" w:color="000000" w:sz="12"/>
          <w:right w:val="single" w:color="000000" w:sz="12"/>
          <w:insideH w:val="single" w:color="000000" w:sz="12"/>
          <w:insideV w:val="single" w:color="000000" w:sz="12"/>
        </w:tblBorders>
      </w:tblPr>
      <w:tr>
        <w:trPr>
          <w:trHeight w:val="600"/>
        </w:trPr>
        <w:tc>
          <w:tcPr>
            <w:tcW w:type="pct" w:w="3250"/>
            <w:vAlign w:val="center"/>
          </w:tcPr>
          <w:p>
            <w:pPr>
              <w:jc w:val="center"/>
            </w:pPr>
            <w:r>
              <w:rPr>
                <w:rFonts w:ascii="Times New Roman" w:hAnsi="Times New Roman" w:cs="Times New Roman" w:eastAsia="Times New Roman"/>
                <w:b w:val="true"/>
                <w:sz w:val="24"/>
              </w:rPr>
              <w:t>Membres de la commission</w:t>
            </w:r>
          </w:p>
        </w:tc>
        <w:tc>
          <w:tcPr>
            <w:tcW w:type="pct" w:w="1750"/>
            <w:vAlign w:val="center"/>
          </w:tcPr>
          <w:p>
            <w:pPr>
              <w:jc w:val="center"/>
            </w:pPr>
            <w:r>
              <w:rPr>
                <w:rFonts w:ascii="Times New Roman" w:hAnsi="Times New Roman" w:cs="Times New Roman" w:eastAsia="Times New Roman"/>
                <w:b w:val="true"/>
                <w:sz w:val="24"/>
              </w:rPr>
              <w:t>Emargements</w:t>
            </w:r>
          </w:p>
        </w:tc>
      </w:tr>
      <w:tr>
        <w:trPr>
          <w:trHeight w:val="800"/>
        </w:trPr>
        <w:tc>
          <w:tcPr>
            <w:tcW w:type="pct" w:w="3250"/>
            <w:vAlign w:val="center"/>
          </w:tcPr>
          <w:p>
            <w:pPr>
              <w:jc w:val="left"/>
            </w:pPr>
            <w:r>
              <w:rPr>
                <w:rFonts w:ascii="Times New Roman" w:hAnsi="Times New Roman" w:cs="Times New Roman" w:eastAsia="Times New Roman"/>
                <w:b w:val="true"/>
                <w:sz w:val="24"/>
              </w:rPr>
              <w:t>M.EL BERKAOUI AHMED</w:t>
            </w:r>
            <w:r>
              <w:rPr>
                <w:rFonts w:ascii="Times New Roman" w:hAnsi="Times New Roman" w:cs="Times New Roman" w:eastAsia="Times New Roman"/>
                <w:sz w:val="24"/>
              </w:rPr>
              <w:t>, Chef de service des affaires administratives et financière, des constructions, des équipements et des patrimoines</w:t>
            </w:r>
            <w:r>
              <w:rPr>
                <w:rFonts w:ascii="Times New Roman" w:hAnsi="Times New Roman" w:cs="Times New Roman" w:eastAsia="Times New Roman"/>
                <w:b w:val="true"/>
                <w:sz w:val="24"/>
              </w:rPr>
              <w:t>, PRESIDENT</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ABBASSE ANNAYA</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MLLE. ASSYA AIT ELMAATI</w:t>
            </w:r>
            <w:r>
              <w:rPr>
                <w:rFonts w:ascii="Times New Roman" w:hAnsi="Times New Roman" w:cs="Times New Roman" w:eastAsia="Times New Roman"/>
                <w:sz w:val="24"/>
              </w:rPr>
              <w:t>, Bureau des marchés</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 ABDERRAHMANE SOUFI</w:t>
            </w:r>
            <w:r>
              <w:rPr>
                <w:rFonts w:ascii="Times New Roman" w:hAnsi="Times New Roman" w:cs="Times New Roman" w:eastAsia="Times New Roman"/>
                <w:sz w:val="24"/>
              </w:rPr>
              <w:t>, Bureau de comptabilité</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MALKI</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r>
        <w:trPr>
          <w:trHeight w:val="800"/>
        </w:trPr>
        <w:tc>
          <w:tcPr>
            <w:tcW w:type="pct" w:w="3250"/>
            <w:vAlign w:val="center"/>
          </w:tcPr>
          <w:p>
            <w:pPr>
              <w:jc w:val="left"/>
            </w:pPr>
            <w:r>
              <w:rPr>
                <w:rFonts w:ascii="Times New Roman" w:hAnsi="Times New Roman" w:cs="Times New Roman" w:eastAsia="Times New Roman"/>
                <w:b w:val="true"/>
                <w:sz w:val="24"/>
              </w:rPr>
              <w:t>M.ABDELKARIM EL TEST</w:t>
            </w:r>
            <w:r>
              <w:rPr>
                <w:rFonts w:ascii="Times New Roman" w:hAnsi="Times New Roman" w:cs="Times New Roman" w:eastAsia="Times New Roman"/>
                <w:sz w:val="24"/>
              </w:rPr>
              <w:t>, Bureau d’économie</w:t>
            </w:r>
            <w:r>
              <w:rPr>
                <w:rFonts w:ascii="Times New Roman" w:hAnsi="Times New Roman" w:cs="Times New Roman" w:eastAsia="Times New Roman"/>
                <w:b w:val="true"/>
                <w:sz w:val="24"/>
              </w:rPr>
              <w:t>, MEMBRE</w:t>
            </w:r>
          </w:p>
        </w:tc>
        <w:tc>
          <w:tcPr>
            <w:tcW w:type="pct" w:w="1750"/>
            <w:vAlign w:val="center"/>
          </w:tcPr>
          <w:p>
            <w:pPr>
              <w:jc w:val="center"/>
            </w:pPr>
            <w:r>
              <w:rPr>
                <w:rFonts w:ascii="Times New Roman" w:hAnsi="Times New Roman" w:cs="Times New Roman" w:eastAsia="Times New Roman"/>
                <w:b w:val="true"/>
                <w:sz w:val="24"/>
              </w:rPr>
              <w:t>--</w:t>
            </w:r>
          </w:p>
        </w:tc>
      </w:tr>
    </w:tbl>
    <w:p>
      <w:r>
        <w:br w:type="page"/>
      </w:r>
    </w:p>
    <w:sectPr>
      <w:footerReference w:type="default" r:id="rId2"/>
      <w:pgSz w:orient="portrait" w:w="11900" w:h="16840"/>
    </w:sectPr>
    <w:sectPr>
      <w:pgMar w:left="800" w:top="200" w:right="800" w:bottom="200" w:footer="50" w:header="10"/>
    </w:sectPr>
  </w:body>
</w:document>
</file>

<file path=word/footer1.xml><?xml version="1.0" encoding="utf-8"?>
<w:ftr xmlns:w="http://schemas.openxmlformats.org/wordprocessingml/2006/main">
  <w:p>
    <w:pPr>
      <w:jc w:val="center"/>
    </w:pPr>
    <w:r>
      <w:rPr>
        <w:rFonts w:ascii="Segoe Print" w:hAnsi="Segoe Print" w:cs="Segoe Print" w:eastAsia="Segoe Print"/>
        <w:sz w:val="18"/>
        <w:u w:val="single"/>
        <w:vertAlign/>
      </w:rPr>
      <w:t>AOO N° 35/ZAG/2022</w:t>
    </w:r>
    <w:r>
      <w:rPr>
        <w:rFonts w:ascii="Segoe Print" w:hAnsi="Segoe Print" w:cs="Segoe Print" w:eastAsia="Segoe Print"/>
        <w:sz w:val="18"/>
      </w:rPr>
      <w:t>&amp;P</w:t>
    </w:r>
  </w:p>
</w:ft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oter1.xml" Type="http://schemas.openxmlformats.org/officeDocument/2006/relationships/footer"/><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2022-09-04T14:21:46Z</dcterms:created>
  <dc:creator>Apache POI</dc:creator>
</cp:coreProperties>
</file>