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25C2F" w14:textId="67C6E133" w:rsidR="0063650D" w:rsidRDefault="00E53C1A">
      <w:r>
        <w:t>Industria: Manufactura de semiconductores.</w:t>
      </w:r>
    </w:p>
    <w:p w14:paraId="2C89BF8B" w14:textId="26852828" w:rsidR="00E53C1A" w:rsidRDefault="00E53C1A">
      <w:r>
        <w:t>Proceso elegido: Fotolitografía</w:t>
      </w:r>
      <w:r w:rsidR="00A35561">
        <w:t xml:space="preserve"> sobre oblea de silicio</w:t>
      </w:r>
      <w:r>
        <w:t xml:space="preserve"> (</w:t>
      </w:r>
      <w:proofErr w:type="spellStart"/>
      <w:r>
        <w:t>sub-conjunto</w:t>
      </w:r>
      <w:proofErr w:type="spellEnd"/>
      <w:r>
        <w:t xml:space="preserve"> de sensores dentro de SECOM).</w:t>
      </w:r>
    </w:p>
    <w:p w14:paraId="6311F49A" w14:textId="0FD1CD3C" w:rsidR="00E53C1A" w:rsidRDefault="00E53C1A">
      <w:r>
        <w:t>Datos reales: Tomados directamente de producción</w:t>
      </w:r>
      <w:r w:rsidR="004C5582">
        <w:t>; ya vienen con etiquetas de rendimiento.</w:t>
      </w:r>
    </w:p>
    <w:p w14:paraId="6BF2E0E0" w14:textId="1D067410" w:rsidR="004C5582" w:rsidRDefault="004C5582">
      <w:r>
        <w:t>Herramientas SQC aplicables: limpieza de datos, selección de variables clave, cartas de control, índice de capacidad y análisis de causas especiales.</w:t>
      </w:r>
    </w:p>
    <w:p w14:paraId="4B549FA2" w14:textId="77777777" w:rsidR="004C5582" w:rsidRDefault="004C5582"/>
    <w:p w14:paraId="3D3A2C50" w14:textId="43D8C686" w:rsidR="004C5582" w:rsidRDefault="004C5582">
      <w:r>
        <w:t>¿Qué es SECOM?</w:t>
      </w:r>
    </w:p>
    <w:p w14:paraId="5FD5CE21" w14:textId="1B2641E1" w:rsidR="004C5582" w:rsidRDefault="004C5582">
      <w:r>
        <w:t>En el ámbito académico, SECOM es simplemente el nombre que los autores dieron a un estudio de “</w:t>
      </w:r>
      <w:proofErr w:type="spellStart"/>
      <w:r>
        <w:t>SEmiconductor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” (o bien “</w:t>
      </w:r>
      <w:proofErr w:type="spellStart"/>
      <w:r>
        <w:t>SEmiconductor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”) cuando, en 2008, publicaron un conjunto de datos anónimos procedentes de una línea real de fabricación de obleas. No es un acrónimo estandarizado ni una empresa concreta; es un “case </w:t>
      </w:r>
      <w:proofErr w:type="spellStart"/>
      <w:r>
        <w:t>study</w:t>
      </w:r>
      <w:proofErr w:type="spellEnd"/>
      <w:r>
        <w:t xml:space="preserve"> (caso de estudio)” que se volvió popular para investigación en minería de datos, detección de fallos y Control Estadístico.</w:t>
      </w:r>
    </w:p>
    <w:p w14:paraId="2C563970" w14:textId="77777777" w:rsidR="00E950AA" w:rsidRDefault="00E950AA"/>
    <w:p w14:paraId="55157D20" w14:textId="6B021FD6" w:rsidR="00E950AA" w:rsidRDefault="00E950AA">
      <w:r>
        <w:t>¿Qué es la litografía en semiconductores?</w:t>
      </w:r>
    </w:p>
    <w:p w14:paraId="5F703302" w14:textId="01D73401" w:rsidR="00E950AA" w:rsidRDefault="00E950AA">
      <w:r>
        <w:t xml:space="preserve">“Litografía” viene del griego </w:t>
      </w:r>
      <w:proofErr w:type="spellStart"/>
      <w:r>
        <w:t>lithos</w:t>
      </w:r>
      <w:proofErr w:type="spellEnd"/>
      <w:r>
        <w:t xml:space="preserve"> = piedra y </w:t>
      </w:r>
      <w:proofErr w:type="spellStart"/>
      <w:r>
        <w:t>graphein</w:t>
      </w:r>
      <w:proofErr w:type="spellEnd"/>
      <w:r>
        <w:t xml:space="preserve"> = escribir: literalmente “escribir sobre piedra”.</w:t>
      </w:r>
    </w:p>
    <w:p w14:paraId="768F1118" w14:textId="4F18C936" w:rsidR="00E950AA" w:rsidRDefault="00E950AA">
      <w:r>
        <w:t xml:space="preserve">En </w:t>
      </w:r>
      <w:proofErr w:type="spellStart"/>
      <w:r>
        <w:t>micro-fabricación</w:t>
      </w:r>
      <w:proofErr w:type="spellEnd"/>
      <w:r>
        <w:t xml:space="preserve"> se emplea fotolitografía (óptica) DUV (248 nm, 193 nm) y EUV (13.5 nm) para transferir el patrón del circuito a una oblea de silicio recubierta con una foto-resistente sensible a la luz. El flujo básico es:</w:t>
      </w:r>
    </w:p>
    <w:p w14:paraId="6CDEC6B7" w14:textId="72CC66F2" w:rsidR="00E950AA" w:rsidRDefault="00E950AA" w:rsidP="00E950AA">
      <w:pPr>
        <w:pStyle w:val="Prrafodelista"/>
        <w:numPr>
          <w:ilvl w:val="0"/>
          <w:numId w:val="2"/>
        </w:numPr>
      </w:pPr>
      <w:r>
        <w:t>Spin-</w:t>
      </w:r>
      <w:proofErr w:type="spellStart"/>
      <w:r>
        <w:t>coat</w:t>
      </w:r>
      <w:proofErr w:type="spellEnd"/>
      <w:r>
        <w:t>: se deposita una película uniforme de resiste; se mide su espesor.</w:t>
      </w:r>
    </w:p>
    <w:p w14:paraId="700CD851" w14:textId="324B3C0B" w:rsidR="00E950AA" w:rsidRDefault="00E950AA" w:rsidP="00E950AA">
      <w:pPr>
        <w:pStyle w:val="Prrafodelista"/>
        <w:numPr>
          <w:ilvl w:val="0"/>
          <w:numId w:val="2"/>
        </w:numPr>
        <w:rPr>
          <w:lang w:val="en-US"/>
        </w:rPr>
      </w:pPr>
      <w:r w:rsidRPr="00E950AA">
        <w:rPr>
          <w:lang w:val="en-US"/>
        </w:rPr>
        <w:t xml:space="preserve">Pre-bake (soft-bake): se </w:t>
      </w:r>
      <w:proofErr w:type="spellStart"/>
      <w:r w:rsidRPr="00E950AA">
        <w:rPr>
          <w:lang w:val="en-US"/>
        </w:rPr>
        <w:t>e</w:t>
      </w:r>
      <w:r>
        <w:rPr>
          <w:lang w:val="en-US"/>
        </w:rPr>
        <w:t>vapora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disolvente</w:t>
      </w:r>
      <w:proofErr w:type="spellEnd"/>
      <w:r>
        <w:rPr>
          <w:lang w:val="en-US"/>
        </w:rPr>
        <w:t>.</w:t>
      </w:r>
    </w:p>
    <w:p w14:paraId="6133733A" w14:textId="59E9421A" w:rsidR="00E950AA" w:rsidRDefault="00E950AA" w:rsidP="00E950AA">
      <w:pPr>
        <w:pStyle w:val="Prrafodelista"/>
        <w:numPr>
          <w:ilvl w:val="0"/>
          <w:numId w:val="2"/>
        </w:numPr>
      </w:pPr>
      <w:r w:rsidRPr="00E950AA">
        <w:t>Exposición: la máscara (</w:t>
      </w:r>
      <w:proofErr w:type="spellStart"/>
      <w:r w:rsidRPr="00E950AA">
        <w:t>photomask</w:t>
      </w:r>
      <w:proofErr w:type="spellEnd"/>
      <w:r w:rsidRPr="00E950AA">
        <w:t xml:space="preserve"> o r</w:t>
      </w:r>
      <w:r>
        <w:t>etícula) se proyecta sobre la oblea; las variables críticas son dosis (energía por área) y enfoque.</w:t>
      </w:r>
    </w:p>
    <w:p w14:paraId="7AB8FC6B" w14:textId="4FE1D0D0" w:rsidR="00E950AA" w:rsidRDefault="00E950AA" w:rsidP="00E950AA">
      <w:pPr>
        <w:pStyle w:val="Prrafodelista"/>
        <w:numPr>
          <w:ilvl w:val="0"/>
          <w:numId w:val="2"/>
        </w:numPr>
      </w:pPr>
      <w:proofErr w:type="spellStart"/>
      <w:r>
        <w:t>Post-bake</w:t>
      </w:r>
      <w:proofErr w:type="spellEnd"/>
      <w:r>
        <w:t>: completa la reacción fotoquímica.</w:t>
      </w:r>
    </w:p>
    <w:p w14:paraId="21DF8027" w14:textId="46927AD6" w:rsidR="00E950AA" w:rsidRDefault="00E950AA" w:rsidP="00E950AA">
      <w:pPr>
        <w:pStyle w:val="Prrafodelista"/>
        <w:numPr>
          <w:ilvl w:val="0"/>
          <w:numId w:val="2"/>
        </w:numPr>
      </w:pPr>
      <w:r>
        <w:t>Revelado: se disuelve selectivamente el resiste expuesto/no expuesto.</w:t>
      </w:r>
    </w:p>
    <w:p w14:paraId="1240B95F" w14:textId="06F6CA9E" w:rsidR="00E950AA" w:rsidRDefault="00E950AA" w:rsidP="00E950AA">
      <w:pPr>
        <w:pStyle w:val="Prrafodelista"/>
        <w:numPr>
          <w:ilvl w:val="0"/>
          <w:numId w:val="2"/>
        </w:numPr>
      </w:pPr>
      <w:r>
        <w:t xml:space="preserve">Metrología: con un CD-SEM se mide el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(CD) y el </w:t>
      </w:r>
      <w:proofErr w:type="spellStart"/>
      <w:r>
        <w:t>overlay</w:t>
      </w:r>
      <w:proofErr w:type="spellEnd"/>
      <w:r>
        <w:t xml:space="preserve"> entre capas; CD típicos en nodos </w:t>
      </w:r>
      <w:proofErr w:type="spellStart"/>
      <w:r>
        <w:t>FinFET</w:t>
      </w:r>
      <w:proofErr w:type="spellEnd"/>
      <w:r>
        <w:t xml:space="preserve"> de 14 nm son 14 ± 2nm</w:t>
      </w:r>
    </w:p>
    <w:p w14:paraId="1693EA2A" w14:textId="438B08AD" w:rsidR="00CF60D1" w:rsidRDefault="00E950AA" w:rsidP="00E950AA">
      <w:r>
        <w:lastRenderedPageBreak/>
        <w:t>El rendimiento (</w:t>
      </w:r>
      <w:proofErr w:type="spellStart"/>
      <w:r>
        <w:t>yield</w:t>
      </w:r>
      <w:proofErr w:type="spellEnd"/>
      <w:r>
        <w:t xml:space="preserve">) del chip depende fuertemente de mantener CD y </w:t>
      </w:r>
      <w:proofErr w:type="spellStart"/>
      <w:r>
        <w:t>overlay</w:t>
      </w:r>
      <w:proofErr w:type="spellEnd"/>
      <w:r>
        <w:t xml:space="preserve"> dentro de unas pocas décimas de nanómetro, de ahí la necesidad de control estadístico estricto.</w:t>
      </w:r>
    </w:p>
    <w:p w14:paraId="5EEEC4E4" w14:textId="0D268F4B" w:rsidR="00CF60D1" w:rsidRDefault="00CF60D1" w:rsidP="00E950AA">
      <w:r>
        <w:t>Respecto a los datos, estos están bajo licencia CC-BY-4.0.</w:t>
      </w:r>
    </w:p>
    <w:p w14:paraId="7AA1F567" w14:textId="0F67357B" w:rsidR="00CF60D1" w:rsidRDefault="00CF60D1" w:rsidP="00E950AA">
      <w:r>
        <w:t xml:space="preserve">Los datos se encuentran almacenados en: </w:t>
      </w:r>
      <w:hyperlink r:id="rId5" w:history="1">
        <w:r w:rsidRPr="00E70318">
          <w:rPr>
            <w:rStyle w:val="Hipervnculo"/>
          </w:rPr>
          <w:t>https://archive.ics.uci.edu/dataset/179/secom</w:t>
        </w:r>
      </w:hyperlink>
    </w:p>
    <w:p w14:paraId="1FAB0A1F" w14:textId="77777777" w:rsidR="00A35561" w:rsidRDefault="00A35561" w:rsidP="00E950AA"/>
    <w:p w14:paraId="2554353F" w14:textId="4545BE36" w:rsidR="00A35561" w:rsidRDefault="00A35561" w:rsidP="00E950AA">
      <w:r>
        <w:t xml:space="preserve">Panorama general del </w:t>
      </w:r>
      <w:proofErr w:type="spellStart"/>
      <w:r>
        <w:t>dataset</w:t>
      </w:r>
      <w:proofErr w:type="spellEnd"/>
      <w:r>
        <w:t xml:space="preserve"> SECOM.</w:t>
      </w:r>
    </w:p>
    <w:p w14:paraId="2E2C7056" w14:textId="184035B8" w:rsidR="00A35561" w:rsidRDefault="00A35561" w:rsidP="00E950AA">
      <w:r w:rsidRPr="00A35561">
        <w:t>El conjunto SECOM fue publicado en el repositorio UCI en 2008 y procede de una línea real de fabricación de obleas de silicio. Consta de:</w:t>
      </w:r>
    </w:p>
    <w:p w14:paraId="6F642990" w14:textId="0E0678B5" w:rsidR="00A35561" w:rsidRDefault="00A35561" w:rsidP="00A35561">
      <w:pPr>
        <w:pStyle w:val="Prrafodelista"/>
        <w:numPr>
          <w:ilvl w:val="0"/>
          <w:numId w:val="4"/>
        </w:numPr>
      </w:pPr>
      <w:r w:rsidRPr="00A35561">
        <w:t>1567 observaciones (lotes, obleas individuales o “unidades de prueba”).</w:t>
      </w:r>
    </w:p>
    <w:p w14:paraId="6CD7DAD3" w14:textId="7EEA7942" w:rsidR="00A35561" w:rsidRDefault="00A35561" w:rsidP="00A35561">
      <w:pPr>
        <w:pStyle w:val="Prrafodelista"/>
        <w:numPr>
          <w:ilvl w:val="0"/>
          <w:numId w:val="4"/>
        </w:numPr>
      </w:pPr>
      <w:r w:rsidRPr="00A35561">
        <w:t xml:space="preserve">590 variables continuas recopiladas por sensores </w:t>
      </w:r>
      <w:proofErr w:type="spellStart"/>
      <w:r w:rsidRPr="00A35561">
        <w:t>in-line</w:t>
      </w:r>
      <w:proofErr w:type="spellEnd"/>
      <w:r>
        <w:t xml:space="preserve"> + 1 columna de identificación (total 591). Los nombres se anonimizaron (V1,…,V590).</w:t>
      </w:r>
    </w:p>
    <w:p w14:paraId="626DD714" w14:textId="56A949B5" w:rsidR="00A35561" w:rsidRDefault="00A35561" w:rsidP="00A35561">
      <w:pPr>
        <w:pStyle w:val="Prrafodelista"/>
        <w:numPr>
          <w:ilvl w:val="0"/>
          <w:numId w:val="4"/>
        </w:numPr>
      </w:pPr>
      <w:r>
        <w:t>Etiqueta Pass/</w:t>
      </w:r>
      <w:proofErr w:type="spellStart"/>
      <w:r>
        <w:t>Fail</w:t>
      </w:r>
      <w:proofErr w:type="spellEnd"/>
      <w:r>
        <w:t>: -1 = pasa, 1 = falla (solo 104 fallas por lo cual el desbalance es del 6%).</w:t>
      </w:r>
    </w:p>
    <w:p w14:paraId="63C4C685" w14:textId="07B0FBD2" w:rsidR="00A35561" w:rsidRDefault="00A35561" w:rsidP="00A35561">
      <w:pPr>
        <w:pStyle w:val="Prrafodelista"/>
        <w:numPr>
          <w:ilvl w:val="0"/>
          <w:numId w:val="4"/>
        </w:numPr>
      </w:pPr>
      <w:proofErr w:type="spellStart"/>
      <w:r w:rsidRPr="00A35561">
        <w:t>Timestamps</w:t>
      </w:r>
      <w:proofErr w:type="spellEnd"/>
      <w:r w:rsidRPr="00A35561">
        <w:t xml:space="preserve"> de cada observación, útiles para ordenar cronológicamente.</w:t>
      </w:r>
    </w:p>
    <w:p w14:paraId="03150946" w14:textId="0E7A82D3" w:rsidR="00A35561" w:rsidRDefault="00A35561" w:rsidP="00A35561">
      <w:pPr>
        <w:pStyle w:val="Prrafodelista"/>
        <w:numPr>
          <w:ilvl w:val="0"/>
          <w:numId w:val="4"/>
        </w:numPr>
      </w:pPr>
      <w:r>
        <w:t xml:space="preserve">1% - 8% de los valores son </w:t>
      </w:r>
      <w:proofErr w:type="spellStart"/>
      <w:r>
        <w:t>NaN</w:t>
      </w:r>
      <w:proofErr w:type="spellEnd"/>
      <w:r>
        <w:t xml:space="preserve"> (sensor inactivo o lectura inválida).</w:t>
      </w:r>
    </w:p>
    <w:p w14:paraId="2D92B45C" w14:textId="77777777" w:rsidR="00CE625E" w:rsidRDefault="00CE625E" w:rsidP="00CE625E"/>
    <w:p w14:paraId="00A04329" w14:textId="77777777" w:rsidR="00CE625E" w:rsidRDefault="00CE625E" w:rsidP="00CE625E"/>
    <w:p w14:paraId="071BBA89" w14:textId="5C8C2C5C" w:rsidR="00CE625E" w:rsidRDefault="00CE625E" w:rsidP="00CE625E">
      <w:r>
        <w:t>Ubicar la fotolitografía dentro de la fabricación.</w:t>
      </w:r>
    </w:p>
    <w:p w14:paraId="649D06B2" w14:textId="62FCB293" w:rsidR="00CE625E" w:rsidRDefault="00CE625E" w:rsidP="00CE625E">
      <w:r w:rsidRPr="00CE625E">
        <w:t>El flujo “</w:t>
      </w:r>
      <w:proofErr w:type="spellStart"/>
      <w:r w:rsidRPr="00CE625E">
        <w:t>frond-end</w:t>
      </w:r>
      <w:proofErr w:type="spellEnd"/>
      <w:r w:rsidRPr="00CE625E">
        <w:t>” típico con</w:t>
      </w:r>
      <w:r>
        <w:t>tiene más de 300 pasos que se repiten en ciclos: limpieza, oxidación, fotolitografía, grabado, deposición y CMP. La fotolitografía actúa como cuello de botella porque define el ancho de las compuertas (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, CD) y el </w:t>
      </w:r>
      <w:proofErr w:type="spellStart"/>
      <w:r>
        <w:t>overlay</w:t>
      </w:r>
      <w:proofErr w:type="spellEnd"/>
      <w:r>
        <w:t xml:space="preserve">, es decir la alineación capa sobre capa, parámetros que dictan velocidad, consumo y </w:t>
      </w:r>
      <w:proofErr w:type="spellStart"/>
      <w:r>
        <w:t>yield</w:t>
      </w:r>
      <w:proofErr w:type="spellEnd"/>
      <w:r>
        <w:t xml:space="preserve"> del chip.</w:t>
      </w:r>
    </w:p>
    <w:p w14:paraId="3F7CFBB2" w14:textId="4D6D2116" w:rsidR="00CE625E" w:rsidRDefault="00CE625E" w:rsidP="00CE625E">
      <w:r>
        <w:t>Secuencia clave de fotolitografía: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E625E" w14:paraId="3B7B4868" w14:textId="77777777" w:rsidTr="00CE625E">
        <w:tc>
          <w:tcPr>
            <w:tcW w:w="2942" w:type="dxa"/>
          </w:tcPr>
          <w:p w14:paraId="18B8F6DF" w14:textId="16E94758" w:rsidR="00CE625E" w:rsidRDefault="00CE625E" w:rsidP="00CE625E">
            <w:r>
              <w:t>Paso</w:t>
            </w:r>
          </w:p>
        </w:tc>
        <w:tc>
          <w:tcPr>
            <w:tcW w:w="2943" w:type="dxa"/>
          </w:tcPr>
          <w:p w14:paraId="0AE3755F" w14:textId="4498AABE" w:rsidR="00CE625E" w:rsidRDefault="00CE625E" w:rsidP="00CE625E">
            <w:r>
              <w:t>Objetivo</w:t>
            </w:r>
          </w:p>
        </w:tc>
        <w:tc>
          <w:tcPr>
            <w:tcW w:w="2943" w:type="dxa"/>
          </w:tcPr>
          <w:p w14:paraId="531A855E" w14:textId="59EA49E4" w:rsidR="00CE625E" w:rsidRDefault="00CE625E" w:rsidP="00CE625E">
            <w:r>
              <w:t>Variable típica</w:t>
            </w:r>
          </w:p>
        </w:tc>
      </w:tr>
      <w:tr w:rsidR="00CE625E" w14:paraId="2D6D71C8" w14:textId="77777777" w:rsidTr="00CE625E">
        <w:tc>
          <w:tcPr>
            <w:tcW w:w="2942" w:type="dxa"/>
          </w:tcPr>
          <w:p w14:paraId="03958EC8" w14:textId="0E6DE9BC" w:rsidR="00CE625E" w:rsidRDefault="00CE625E" w:rsidP="00CE625E">
            <w:r>
              <w:t xml:space="preserve">Spin </w:t>
            </w:r>
            <w:proofErr w:type="spellStart"/>
            <w:r>
              <w:t>coat</w:t>
            </w:r>
            <w:proofErr w:type="spellEnd"/>
            <w:r>
              <w:t xml:space="preserve"> de resiste</w:t>
            </w:r>
          </w:p>
        </w:tc>
        <w:tc>
          <w:tcPr>
            <w:tcW w:w="2943" w:type="dxa"/>
          </w:tcPr>
          <w:p w14:paraId="1B934FB2" w14:textId="062D4A85" w:rsidR="00CE625E" w:rsidRDefault="00CE625E" w:rsidP="00CE625E">
            <w:r>
              <w:t>Depositar película uniforme</w:t>
            </w:r>
          </w:p>
        </w:tc>
        <w:tc>
          <w:tcPr>
            <w:tcW w:w="2943" w:type="dxa"/>
          </w:tcPr>
          <w:p w14:paraId="7D652C9D" w14:textId="39683CA4" w:rsidR="00CE625E" w:rsidRDefault="00CE625E" w:rsidP="00CE625E">
            <w:r>
              <w:t>Espesor de resiste (nm)</w:t>
            </w:r>
          </w:p>
        </w:tc>
      </w:tr>
      <w:tr w:rsidR="00CE625E" w14:paraId="02DE99EF" w14:textId="77777777" w:rsidTr="00CE625E">
        <w:tc>
          <w:tcPr>
            <w:tcW w:w="2942" w:type="dxa"/>
          </w:tcPr>
          <w:p w14:paraId="5AB2CB1D" w14:textId="7A228187" w:rsidR="00CE625E" w:rsidRDefault="00CE625E" w:rsidP="00CE625E"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>
              <w:t>bake</w:t>
            </w:r>
            <w:proofErr w:type="spellEnd"/>
          </w:p>
        </w:tc>
        <w:tc>
          <w:tcPr>
            <w:tcW w:w="2943" w:type="dxa"/>
          </w:tcPr>
          <w:p w14:paraId="1826FFFD" w14:textId="6EDCDA8A" w:rsidR="00CE625E" w:rsidRDefault="00CE625E" w:rsidP="00CE625E">
            <w:r>
              <w:t>Evaporar disolvente</w:t>
            </w:r>
          </w:p>
        </w:tc>
        <w:tc>
          <w:tcPr>
            <w:tcW w:w="2943" w:type="dxa"/>
          </w:tcPr>
          <w:p w14:paraId="2B374854" w14:textId="56B0198E" w:rsidR="00CE625E" w:rsidRDefault="00CE625E" w:rsidP="00CE625E">
            <w:r>
              <w:t>Temperatura/tiempo de placa (°C, s)</w:t>
            </w:r>
          </w:p>
        </w:tc>
      </w:tr>
      <w:tr w:rsidR="00CE625E" w14:paraId="56DF7109" w14:textId="77777777" w:rsidTr="00CE625E">
        <w:tc>
          <w:tcPr>
            <w:tcW w:w="2942" w:type="dxa"/>
          </w:tcPr>
          <w:p w14:paraId="30C40A04" w14:textId="4B098F0A" w:rsidR="00CE625E" w:rsidRDefault="00CE625E" w:rsidP="00CE625E">
            <w:r>
              <w:t>Exposición DUV/EUV</w:t>
            </w:r>
          </w:p>
        </w:tc>
        <w:tc>
          <w:tcPr>
            <w:tcW w:w="2943" w:type="dxa"/>
          </w:tcPr>
          <w:p w14:paraId="6BC10B07" w14:textId="162B8A2F" w:rsidR="00CE625E" w:rsidRDefault="00CE625E" w:rsidP="00CE625E">
            <w:r>
              <w:t>Patrón óptico</w:t>
            </w:r>
          </w:p>
        </w:tc>
        <w:tc>
          <w:tcPr>
            <w:tcW w:w="2943" w:type="dxa"/>
          </w:tcPr>
          <w:p w14:paraId="67D0F8A3" w14:textId="29F634E1" w:rsidR="00CE625E" w:rsidRDefault="00CE625E" w:rsidP="00CE625E">
            <w:r>
              <w:t>Dosis de energía (</w:t>
            </w:r>
            <w:proofErr w:type="spellStart"/>
            <w:r>
              <w:t>mJ</w:t>
            </w:r>
            <w:proofErr w:type="spellEnd"/>
            <w:r>
              <w:t xml:space="preserve"> cm^-2), enfoque (nm)</w:t>
            </w:r>
          </w:p>
        </w:tc>
      </w:tr>
      <w:tr w:rsidR="00CE625E" w14:paraId="5B7973AF" w14:textId="77777777" w:rsidTr="00CE625E">
        <w:tc>
          <w:tcPr>
            <w:tcW w:w="2942" w:type="dxa"/>
          </w:tcPr>
          <w:p w14:paraId="55004EB8" w14:textId="16A85013" w:rsidR="00CE625E" w:rsidRDefault="00CE625E" w:rsidP="00CE625E">
            <w:proofErr w:type="spellStart"/>
            <w:r>
              <w:lastRenderedPageBreak/>
              <w:t>Post-exposure</w:t>
            </w:r>
            <w:proofErr w:type="spellEnd"/>
            <w:r>
              <w:t xml:space="preserve"> </w:t>
            </w:r>
            <w:proofErr w:type="spellStart"/>
            <w:r>
              <w:t>bake</w:t>
            </w:r>
            <w:proofErr w:type="spellEnd"/>
          </w:p>
        </w:tc>
        <w:tc>
          <w:tcPr>
            <w:tcW w:w="2943" w:type="dxa"/>
          </w:tcPr>
          <w:p w14:paraId="07D8CAA1" w14:textId="065D90D7" w:rsidR="00CE625E" w:rsidRDefault="00CE625E" w:rsidP="00CE625E">
            <w:r>
              <w:t>Completar reacción química</w:t>
            </w:r>
          </w:p>
        </w:tc>
        <w:tc>
          <w:tcPr>
            <w:tcW w:w="2943" w:type="dxa"/>
          </w:tcPr>
          <w:p w14:paraId="22E2378A" w14:textId="13074BD0" w:rsidR="00CE625E" w:rsidRDefault="00CE625E" w:rsidP="00CE625E">
            <w:r>
              <w:t>Temperatura/tiempo (°C, s)</w:t>
            </w:r>
          </w:p>
        </w:tc>
      </w:tr>
      <w:tr w:rsidR="00CE625E" w14:paraId="1DAECBB6" w14:textId="77777777" w:rsidTr="00CE625E">
        <w:tc>
          <w:tcPr>
            <w:tcW w:w="2942" w:type="dxa"/>
          </w:tcPr>
          <w:p w14:paraId="5D57F683" w14:textId="2C1D1127" w:rsidR="00CE625E" w:rsidRDefault="00CE625E" w:rsidP="00CE625E">
            <w:r>
              <w:t>Revelado</w:t>
            </w:r>
          </w:p>
        </w:tc>
        <w:tc>
          <w:tcPr>
            <w:tcW w:w="2943" w:type="dxa"/>
          </w:tcPr>
          <w:p w14:paraId="1298D5B0" w14:textId="42CBC495" w:rsidR="00CE625E" w:rsidRDefault="00CE625E" w:rsidP="00CE625E">
            <w:r>
              <w:t>Disolver resiste expuesto</w:t>
            </w:r>
          </w:p>
        </w:tc>
        <w:tc>
          <w:tcPr>
            <w:tcW w:w="2943" w:type="dxa"/>
          </w:tcPr>
          <w:p w14:paraId="0C4A691A" w14:textId="052E530F" w:rsidR="00CE625E" w:rsidRDefault="00CE625E" w:rsidP="00CE625E">
            <w:r>
              <w:t>Caudal de químico (ml s^-1)</w:t>
            </w:r>
          </w:p>
        </w:tc>
      </w:tr>
      <w:tr w:rsidR="00CE625E" w14:paraId="3C9E0843" w14:textId="77777777" w:rsidTr="00CE625E">
        <w:tc>
          <w:tcPr>
            <w:tcW w:w="2942" w:type="dxa"/>
          </w:tcPr>
          <w:p w14:paraId="6757202A" w14:textId="30D7E167" w:rsidR="00CE625E" w:rsidRDefault="00927078" w:rsidP="00CE625E">
            <w:r>
              <w:t>Medición CD-SEM</w:t>
            </w:r>
          </w:p>
        </w:tc>
        <w:tc>
          <w:tcPr>
            <w:tcW w:w="2943" w:type="dxa"/>
          </w:tcPr>
          <w:p w14:paraId="1479D715" w14:textId="24E2B68C" w:rsidR="00CE625E" w:rsidRDefault="00927078" w:rsidP="00CE625E">
            <w:r>
              <w:t>Verificar dimensiones</w:t>
            </w:r>
          </w:p>
        </w:tc>
        <w:tc>
          <w:tcPr>
            <w:tcW w:w="2943" w:type="dxa"/>
          </w:tcPr>
          <w:p w14:paraId="213D02B8" w14:textId="540C5D27" w:rsidR="00CE625E" w:rsidRDefault="00927078" w:rsidP="00CE625E">
            <w:r>
              <w:t xml:space="preserve">CD, </w:t>
            </w:r>
            <w:proofErr w:type="spellStart"/>
            <w:r>
              <w:t>overlay</w:t>
            </w:r>
            <w:proofErr w:type="spellEnd"/>
            <w:r>
              <w:t xml:space="preserve"> (nm)</w:t>
            </w:r>
          </w:p>
        </w:tc>
      </w:tr>
    </w:tbl>
    <w:p w14:paraId="50017DA5" w14:textId="77777777" w:rsidR="00CE625E" w:rsidRDefault="00CE625E" w:rsidP="00CE625E"/>
    <w:p w14:paraId="38FAE964" w14:textId="77777777" w:rsidR="00927078" w:rsidRDefault="00927078" w:rsidP="00CE625E"/>
    <w:p w14:paraId="6605C8CB" w14:textId="2002CDD3" w:rsidR="00927078" w:rsidRDefault="00927078" w:rsidP="00CE625E">
      <w:r>
        <w:t>Los datos SECOM encajan con la fotolitografía.</w:t>
      </w:r>
    </w:p>
    <w:p w14:paraId="3916924B" w14:textId="735B071C" w:rsidR="00927078" w:rsidRDefault="00927078" w:rsidP="00927078">
      <w:pPr>
        <w:pStyle w:val="Prrafodelista"/>
        <w:numPr>
          <w:ilvl w:val="0"/>
          <w:numId w:val="5"/>
        </w:numPr>
      </w:pPr>
      <w:r>
        <w:t xml:space="preserve">La combinación </w:t>
      </w:r>
      <w:r w:rsidRPr="00927078">
        <w:t>de columnas relacionadas con temperatura, presión y dosis reproduce exactamente los puntos de control de un escáner DUV.</w:t>
      </w:r>
    </w:p>
    <w:p w14:paraId="7A4DA184" w14:textId="71ED777F" w:rsidR="00927078" w:rsidRPr="00CE625E" w:rsidRDefault="00927078" w:rsidP="00927078">
      <w:pPr>
        <w:pStyle w:val="Prrafodelista"/>
        <w:numPr>
          <w:ilvl w:val="0"/>
          <w:numId w:val="5"/>
        </w:numPr>
      </w:pPr>
      <w:r w:rsidRPr="00927078">
        <w:t xml:space="preserve">El </w:t>
      </w:r>
      <w:proofErr w:type="spellStart"/>
      <w:r w:rsidRPr="00927078">
        <w:t>timestamp</w:t>
      </w:r>
      <w:proofErr w:type="spellEnd"/>
      <w:r w:rsidRPr="00927078">
        <w:t xml:space="preserve"> permite reconstruir la secuencia temporal y agrupar lecturas en subgrupos de, p. ej., 5 lotes por turn</w:t>
      </w:r>
      <w:r>
        <w:t>o.</w:t>
      </w:r>
    </w:p>
    <w:p w14:paraId="6B837773" w14:textId="77777777" w:rsidR="00CF60D1" w:rsidRPr="00CE625E" w:rsidRDefault="00CF60D1" w:rsidP="00E950AA"/>
    <w:p w14:paraId="7EB2F2AE" w14:textId="77777777" w:rsidR="00A35561" w:rsidRPr="00CE625E" w:rsidRDefault="00A35561" w:rsidP="00E950AA"/>
    <w:p w14:paraId="6A9559E4" w14:textId="013A5311" w:rsidR="00A35561" w:rsidRDefault="00A35561" w:rsidP="00E950AA">
      <w:r>
        <w:t>Propuesta de metodología.</w:t>
      </w:r>
    </w:p>
    <w:p w14:paraId="235BA607" w14:textId="5BDE4C20" w:rsidR="00A35561" w:rsidRDefault="00A35561" w:rsidP="00A35561">
      <w:pPr>
        <w:pStyle w:val="Prrafodelista"/>
        <w:numPr>
          <w:ilvl w:val="0"/>
          <w:numId w:val="3"/>
        </w:numPr>
      </w:pPr>
      <w:r>
        <w:t xml:space="preserve">Extracción del </w:t>
      </w:r>
      <w:proofErr w:type="spellStart"/>
      <w:r>
        <w:t>dataset</w:t>
      </w:r>
      <w:proofErr w:type="spellEnd"/>
      <w:r>
        <w:t xml:space="preserve"> SECOM y filtrado de 6-10 sensores litográficos.</w:t>
      </w:r>
    </w:p>
    <w:p w14:paraId="05998227" w14:textId="687384DF" w:rsidR="00A35561" w:rsidRDefault="00A35561" w:rsidP="00A35561">
      <w:pPr>
        <w:pStyle w:val="Prrafodelista"/>
        <w:numPr>
          <w:ilvl w:val="0"/>
          <w:numId w:val="3"/>
        </w:numPr>
      </w:pPr>
      <w:proofErr w:type="spellStart"/>
      <w:r>
        <w:t>Pre-procesamiento</w:t>
      </w:r>
      <w:proofErr w:type="spellEnd"/>
      <w:r>
        <w:t>:</w:t>
      </w:r>
    </w:p>
    <w:p w14:paraId="23C72C01" w14:textId="18F748AA" w:rsidR="00A35561" w:rsidRDefault="00A35561" w:rsidP="00A35561">
      <w:pPr>
        <w:pStyle w:val="Prrafodelista"/>
        <w:numPr>
          <w:ilvl w:val="1"/>
          <w:numId w:val="3"/>
        </w:numPr>
      </w:pPr>
      <w:r>
        <w:t xml:space="preserve">Eliminar columnas con &gt;80 % </w:t>
      </w:r>
      <w:proofErr w:type="spellStart"/>
      <w:r>
        <w:t>NaN</w:t>
      </w:r>
      <w:proofErr w:type="spellEnd"/>
      <w:r>
        <w:t>.</w:t>
      </w:r>
    </w:p>
    <w:p w14:paraId="05CC26A5" w14:textId="34D1D4B8" w:rsidR="00A35561" w:rsidRDefault="00A35561" w:rsidP="00A35561">
      <w:pPr>
        <w:pStyle w:val="Prrafodelista"/>
        <w:numPr>
          <w:ilvl w:val="1"/>
          <w:numId w:val="3"/>
        </w:numPr>
      </w:pPr>
      <w:r>
        <w:t>Imputar restantes con la mediana.</w:t>
      </w:r>
    </w:p>
    <w:p w14:paraId="02DD6C65" w14:textId="0BC846B2" w:rsidR="00A35561" w:rsidRDefault="00A35561" w:rsidP="00A35561">
      <w:pPr>
        <w:pStyle w:val="Prrafodelista"/>
        <w:numPr>
          <w:ilvl w:val="1"/>
          <w:numId w:val="3"/>
        </w:numPr>
      </w:pPr>
      <w:r>
        <w:t>Estandarizar.</w:t>
      </w:r>
    </w:p>
    <w:p w14:paraId="26E348DF" w14:textId="5FEFE391" w:rsidR="00A35561" w:rsidRDefault="00A35561" w:rsidP="00A35561">
      <w:pPr>
        <w:pStyle w:val="Prrafodelista"/>
        <w:numPr>
          <w:ilvl w:val="0"/>
          <w:numId w:val="3"/>
        </w:numPr>
      </w:pPr>
      <w:r>
        <w:t>División en un subconjunto “</w:t>
      </w:r>
      <w:proofErr w:type="spellStart"/>
      <w:r>
        <w:t>pass</w:t>
      </w:r>
      <w:proofErr w:type="spellEnd"/>
      <w:r>
        <w:t xml:space="preserve">” (base </w:t>
      </w:r>
      <w:proofErr w:type="spellStart"/>
      <w:r>
        <w:t>in-control</w:t>
      </w:r>
      <w:proofErr w:type="spellEnd"/>
      <w:r>
        <w:t>) y “mixto” para validación.</w:t>
      </w:r>
    </w:p>
    <w:p w14:paraId="678C6B1A" w14:textId="626D8D8A" w:rsidR="00A35561" w:rsidRDefault="00A35561" w:rsidP="00A35561">
      <w:pPr>
        <w:pStyle w:val="Prrafodelista"/>
        <w:numPr>
          <w:ilvl w:val="0"/>
          <w:numId w:val="3"/>
        </w:numPr>
      </w:pPr>
      <w:r>
        <w:t>Herramientas estadísticas:</w:t>
      </w:r>
    </w:p>
    <w:p w14:paraId="4EF3C632" w14:textId="5AEBC584" w:rsidR="00A35561" w:rsidRDefault="00A35561" w:rsidP="00A35561">
      <w:pPr>
        <w:pStyle w:val="Prrafodelista"/>
        <w:numPr>
          <w:ilvl w:val="1"/>
          <w:numId w:val="3"/>
        </w:numPr>
      </w:pPr>
      <w:r>
        <w:t>Cartas.</w:t>
      </w:r>
    </w:p>
    <w:p w14:paraId="3BDF2E67" w14:textId="78E6B1BB" w:rsidR="00A35561" w:rsidRDefault="00A35561" w:rsidP="00A35561">
      <w:pPr>
        <w:pStyle w:val="Prrafodelista"/>
        <w:numPr>
          <w:ilvl w:val="1"/>
          <w:numId w:val="3"/>
        </w:numPr>
      </w:pPr>
      <w:r>
        <w:t>Etc.</w:t>
      </w:r>
    </w:p>
    <w:p w14:paraId="046EE236" w14:textId="77777777" w:rsidR="00C53C36" w:rsidRDefault="00C53C36" w:rsidP="00C53C36"/>
    <w:p w14:paraId="7A78FD4A" w14:textId="0A6BC6BD" w:rsidR="00C53C36" w:rsidRDefault="00C53C36" w:rsidP="00C53C36">
      <w:r>
        <w:t>Principales problemas que suelen aparecer en la fotolitografía.</w:t>
      </w:r>
    </w:p>
    <w:p w14:paraId="07A44BAB" w14:textId="3F7C3665" w:rsidR="00C53C36" w:rsidRDefault="00C53C36" w:rsidP="00C53C36">
      <w:pPr>
        <w:pStyle w:val="Prrafodelista"/>
        <w:numPr>
          <w:ilvl w:val="0"/>
          <w:numId w:val="5"/>
        </w:numPr>
      </w:pPr>
      <w:r>
        <w:t>Deriva de dosis y/o enfoque.</w:t>
      </w:r>
    </w:p>
    <w:p w14:paraId="718B4B6A" w14:textId="4CD8B258" w:rsidR="00C53C36" w:rsidRDefault="00C53C36" w:rsidP="00C53C36">
      <w:pPr>
        <w:pStyle w:val="Prrafodelista"/>
        <w:numPr>
          <w:ilvl w:val="1"/>
          <w:numId w:val="5"/>
        </w:numPr>
      </w:pPr>
      <w:r>
        <w:t>Lo que provoca es el envejecimiento de la lámpara o de láser DUV/EUV. Pues provoca contaminación óptica.</w:t>
      </w:r>
    </w:p>
    <w:p w14:paraId="708D7D7B" w14:textId="217E60FB" w:rsidR="00C53C36" w:rsidRDefault="00C53C36" w:rsidP="00C53C36">
      <w:pPr>
        <w:pStyle w:val="Prrafodelista"/>
        <w:numPr>
          <w:ilvl w:val="0"/>
          <w:numId w:val="5"/>
        </w:numPr>
      </w:pPr>
      <w:r>
        <w:t>Desalineación entre capas (</w:t>
      </w:r>
      <w:proofErr w:type="spellStart"/>
      <w:r>
        <w:t>overlay</w:t>
      </w:r>
      <w:proofErr w:type="spellEnd"/>
      <w:r>
        <w:t>).</w:t>
      </w:r>
    </w:p>
    <w:p w14:paraId="30B0E62E" w14:textId="3FA79BD5" w:rsidR="00C53C36" w:rsidRDefault="00C53C36" w:rsidP="00C53C36">
      <w:pPr>
        <w:pStyle w:val="Prrafodelista"/>
        <w:numPr>
          <w:ilvl w:val="1"/>
          <w:numId w:val="5"/>
        </w:numPr>
        <w:rPr>
          <w:lang w:val="en-US"/>
        </w:rPr>
      </w:pPr>
      <w:r w:rsidRPr="00C53C36">
        <w:rPr>
          <w:lang w:val="en-US"/>
        </w:rPr>
        <w:t xml:space="preserve">Drift </w:t>
      </w:r>
      <w:proofErr w:type="spellStart"/>
      <w:r w:rsidRPr="00C53C36">
        <w:rPr>
          <w:lang w:val="en-US"/>
        </w:rPr>
        <w:t>mecánico</w:t>
      </w:r>
      <w:proofErr w:type="spellEnd"/>
      <w:r w:rsidRPr="00C53C36">
        <w:rPr>
          <w:lang w:val="en-US"/>
        </w:rPr>
        <w:t xml:space="preserve"> del wafer s</w:t>
      </w:r>
      <w:r>
        <w:rPr>
          <w:lang w:val="en-US"/>
        </w:rPr>
        <w:t>tage.</w:t>
      </w:r>
    </w:p>
    <w:p w14:paraId="7A6DF33B" w14:textId="6A9F90FC" w:rsidR="00C53C36" w:rsidRDefault="00C53C36" w:rsidP="00C53C36">
      <w:pPr>
        <w:pStyle w:val="Prrafodelista"/>
        <w:numPr>
          <w:ilvl w:val="1"/>
          <w:numId w:val="5"/>
        </w:numPr>
      </w:pPr>
      <w:r w:rsidRPr="00C53C36">
        <w:t>Coeficiente de dilatación térmica d</w:t>
      </w:r>
      <w:r>
        <w:t>e las retículas.</w:t>
      </w:r>
    </w:p>
    <w:p w14:paraId="7741BFA8" w14:textId="1742E9FA" w:rsidR="00C53C36" w:rsidRDefault="00C53C36" w:rsidP="00C53C36">
      <w:pPr>
        <w:pStyle w:val="Prrafodelista"/>
        <w:numPr>
          <w:ilvl w:val="1"/>
          <w:numId w:val="5"/>
        </w:numPr>
      </w:pPr>
      <w:r>
        <w:t>Error humano al introducir la receta.</w:t>
      </w:r>
    </w:p>
    <w:p w14:paraId="72574308" w14:textId="0F1F3AA4" w:rsidR="00C53C36" w:rsidRDefault="00C53C36" w:rsidP="00C53C36">
      <w:pPr>
        <w:pStyle w:val="Prrafodelista"/>
        <w:numPr>
          <w:ilvl w:val="0"/>
          <w:numId w:val="5"/>
        </w:numPr>
      </w:pPr>
      <w:r>
        <w:t>Variación del espesor del foto-resiste.</w:t>
      </w:r>
    </w:p>
    <w:p w14:paraId="7E1DE509" w14:textId="4494BE9C" w:rsidR="00CF60D1" w:rsidRDefault="00C53C36" w:rsidP="00E950AA">
      <w:pPr>
        <w:pStyle w:val="Prrafodelista"/>
        <w:numPr>
          <w:ilvl w:val="1"/>
          <w:numId w:val="5"/>
        </w:numPr>
      </w:pPr>
      <w:r>
        <w:lastRenderedPageBreak/>
        <w:t>Inestabilidad de viscosidad.</w:t>
      </w:r>
    </w:p>
    <w:p w14:paraId="403472F2" w14:textId="4573ACDA" w:rsidR="00C53C36" w:rsidRDefault="00C53C36" w:rsidP="00C53C36">
      <w:pPr>
        <w:pStyle w:val="Prrafodelista"/>
        <w:numPr>
          <w:ilvl w:val="0"/>
          <w:numId w:val="5"/>
        </w:numPr>
      </w:pPr>
      <w:r>
        <w:t>Partículas y defectos por contaminación.</w:t>
      </w:r>
    </w:p>
    <w:p w14:paraId="7FD87448" w14:textId="3070877B" w:rsidR="00C53C36" w:rsidRPr="00C53C36" w:rsidRDefault="00C53C36" w:rsidP="00C53C36">
      <w:pPr>
        <w:pStyle w:val="Prrafodelista"/>
        <w:numPr>
          <w:ilvl w:val="1"/>
          <w:numId w:val="5"/>
        </w:numPr>
      </w:pPr>
      <w:r>
        <w:t>Falta de mantenimiento de filtros</w:t>
      </w:r>
    </w:p>
    <w:sectPr w:rsidR="00C53C36" w:rsidRPr="00C53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DA9"/>
    <w:multiLevelType w:val="hybridMultilevel"/>
    <w:tmpl w:val="F10E34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1FF8"/>
    <w:multiLevelType w:val="hybridMultilevel"/>
    <w:tmpl w:val="277ACD96"/>
    <w:lvl w:ilvl="0" w:tplc="FADEDD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12501"/>
    <w:multiLevelType w:val="hybridMultilevel"/>
    <w:tmpl w:val="2D4E79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F6A26"/>
    <w:multiLevelType w:val="hybridMultilevel"/>
    <w:tmpl w:val="5C72F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438B5"/>
    <w:multiLevelType w:val="hybridMultilevel"/>
    <w:tmpl w:val="86A628F6"/>
    <w:lvl w:ilvl="0" w:tplc="FADEDD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773890">
    <w:abstractNumId w:val="0"/>
  </w:num>
  <w:num w:numId="2" w16cid:durableId="1583635959">
    <w:abstractNumId w:val="2"/>
  </w:num>
  <w:num w:numId="3" w16cid:durableId="1505247644">
    <w:abstractNumId w:val="3"/>
  </w:num>
  <w:num w:numId="4" w16cid:durableId="1207598601">
    <w:abstractNumId w:val="1"/>
  </w:num>
  <w:num w:numId="5" w16cid:durableId="781997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A"/>
    <w:rsid w:val="00023BD5"/>
    <w:rsid w:val="004C5582"/>
    <w:rsid w:val="004F364A"/>
    <w:rsid w:val="0063650D"/>
    <w:rsid w:val="00927078"/>
    <w:rsid w:val="00A35561"/>
    <w:rsid w:val="00C53C36"/>
    <w:rsid w:val="00C80887"/>
    <w:rsid w:val="00CE625E"/>
    <w:rsid w:val="00CF60D1"/>
    <w:rsid w:val="00E53C1A"/>
    <w:rsid w:val="00E9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F289"/>
  <w15:chartTrackingRefBased/>
  <w15:docId w15:val="{C5C8E46D-2C5D-4E86-82E3-950A7485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3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3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C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C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C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C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C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C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C1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60D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60D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179/se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Tecpa</dc:creator>
  <cp:keywords/>
  <dc:description/>
  <cp:lastModifiedBy>Said Tecpa</cp:lastModifiedBy>
  <cp:revision>2</cp:revision>
  <dcterms:created xsi:type="dcterms:W3CDTF">2025-05-23T02:20:00Z</dcterms:created>
  <dcterms:modified xsi:type="dcterms:W3CDTF">2025-05-23T15:04:00Z</dcterms:modified>
</cp:coreProperties>
</file>