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75AA" w14:textId="77777777" w:rsidR="002A03ED" w:rsidRPr="002A03ED" w:rsidRDefault="002A03ED" w:rsidP="002A03ED">
      <w:pPr>
        <w:jc w:val="center"/>
        <w:rPr>
          <w:rFonts w:asciiTheme="majorHAnsi" w:hAnsiTheme="majorHAnsi" w:cs="Times New Roman"/>
          <w:b/>
          <w:bCs/>
          <w:sz w:val="32"/>
          <w:szCs w:val="32"/>
        </w:rPr>
      </w:pPr>
      <w:r w:rsidRPr="002A03ED">
        <w:rPr>
          <w:rFonts w:asciiTheme="majorHAnsi" w:hAnsiTheme="majorHAnsi" w:cs="Times New Roman"/>
          <w:b/>
          <w:bCs/>
          <w:sz w:val="32"/>
          <w:szCs w:val="32"/>
        </w:rPr>
        <w:t>Clinical Decision Making and Pattern Recognition in Health Care: Agentic AI for Treatment, Payment, and Operations</w:t>
      </w:r>
    </w:p>
    <w:p w14:paraId="154AC637" w14:textId="77777777" w:rsidR="002A03ED" w:rsidRDefault="002A03ED" w:rsidP="002A03ED">
      <w:pPr>
        <w:jc w:val="center"/>
        <w:rPr>
          <w:rFonts w:asciiTheme="majorHAnsi" w:hAnsiTheme="majorHAnsi" w:cs="Times New Roman"/>
          <w:sz w:val="32"/>
          <w:szCs w:val="32"/>
        </w:rPr>
      </w:pPr>
      <w:r w:rsidRPr="002A03ED">
        <w:rPr>
          <w:rFonts w:asciiTheme="majorHAnsi" w:hAnsiTheme="majorHAnsi" w:cs="Times New Roman"/>
          <w:sz w:val="32"/>
          <w:szCs w:val="32"/>
        </w:rPr>
        <w:t>Author: Sai Deepa Kadaru | Ohio University</w:t>
      </w:r>
    </w:p>
    <w:p w14:paraId="056C5A71" w14:textId="77777777" w:rsidR="002A03ED" w:rsidRDefault="002A03ED" w:rsidP="002A03ED">
      <w:pPr>
        <w:jc w:val="center"/>
        <w:rPr>
          <w:rFonts w:asciiTheme="majorHAnsi" w:hAnsiTheme="majorHAnsi" w:cs="Times New Roman"/>
          <w:sz w:val="32"/>
          <w:szCs w:val="32"/>
        </w:rPr>
      </w:pPr>
    </w:p>
    <w:p w14:paraId="471B847F" w14:textId="77777777" w:rsidR="002A0BD1" w:rsidRPr="002A0BD1" w:rsidRDefault="002A0BD1" w:rsidP="002A0BD1">
      <w:pPr>
        <w:rPr>
          <w:rFonts w:asciiTheme="majorHAnsi" w:hAnsiTheme="majorHAnsi" w:cs="Times New Roman"/>
          <w:b/>
          <w:bCs/>
        </w:rPr>
      </w:pPr>
      <w:r w:rsidRPr="002A0BD1">
        <w:rPr>
          <w:rFonts w:asciiTheme="majorHAnsi" w:hAnsiTheme="majorHAnsi" w:cs="Times New Roman"/>
          <w:b/>
          <w:bCs/>
        </w:rPr>
        <w:t>Concept Definition</w:t>
      </w:r>
    </w:p>
    <w:p w14:paraId="05B6C8CB" w14:textId="263D9E84" w:rsidR="002A0BD1" w:rsidRPr="002A0BD1" w:rsidRDefault="002A0BD1" w:rsidP="002A0BD1">
      <w:pPr>
        <w:rPr>
          <w:rFonts w:asciiTheme="majorHAnsi" w:hAnsiTheme="majorHAnsi" w:cs="Times New Roman"/>
        </w:rPr>
      </w:pPr>
      <w:r w:rsidRPr="002A0BD1">
        <w:rPr>
          <w:rFonts w:asciiTheme="majorHAnsi" w:hAnsiTheme="majorHAnsi" w:cs="Times New Roman"/>
        </w:rPr>
        <w:t>Clinical decision making in health care is the process by which clinicians, payers, and administrators evaluate complex information to determine appropriate courses of action across patient care, payment adjudication, and operational management. Pattern recognition</w:t>
      </w:r>
      <w:r>
        <w:rPr>
          <w:rFonts w:asciiTheme="majorHAnsi" w:hAnsiTheme="majorHAnsi" w:cs="Times New Roman"/>
        </w:rPr>
        <w:t xml:space="preserve">, </w:t>
      </w:r>
      <w:r w:rsidRPr="002A0BD1">
        <w:rPr>
          <w:rFonts w:asciiTheme="majorHAnsi" w:hAnsiTheme="majorHAnsi" w:cs="Times New Roman"/>
        </w:rPr>
        <w:t xml:space="preserve">identifying meaningful signals within large datasets is the mechanism that enables accurate decision </w:t>
      </w:r>
      <w:r w:rsidR="00B3595E" w:rsidRPr="002A0BD1">
        <w:rPr>
          <w:rFonts w:asciiTheme="majorHAnsi" w:hAnsiTheme="majorHAnsi" w:cs="Times New Roman"/>
        </w:rPr>
        <w:t>making on a</w:t>
      </w:r>
      <w:r w:rsidRPr="002A0BD1">
        <w:rPr>
          <w:rFonts w:asciiTheme="majorHAnsi" w:hAnsiTheme="majorHAnsi" w:cs="Times New Roman"/>
        </w:rPr>
        <w:t xml:space="preserve"> scale. As health care data volumes have grown through electronic health records, claims systems, and operational platforms, AI-driven decision support has become essential, representing the most significant transformation in health care informatics in recent decades [</w:t>
      </w:r>
      <w:r w:rsidR="00C42A23">
        <w:rPr>
          <w:rFonts w:asciiTheme="majorHAnsi" w:hAnsiTheme="majorHAnsi" w:cs="Times New Roman"/>
        </w:rPr>
        <w:t>5</w:t>
      </w:r>
      <w:r w:rsidRPr="002A0BD1">
        <w:rPr>
          <w:rFonts w:asciiTheme="majorHAnsi" w:hAnsiTheme="majorHAnsi" w:cs="Times New Roman"/>
        </w:rPr>
        <w:t xml:space="preserve">, </w:t>
      </w:r>
      <w:r w:rsidR="00C42A23">
        <w:rPr>
          <w:rFonts w:asciiTheme="majorHAnsi" w:hAnsiTheme="majorHAnsi" w:cs="Times New Roman"/>
        </w:rPr>
        <w:t>6</w:t>
      </w:r>
      <w:r w:rsidRPr="002A0BD1">
        <w:rPr>
          <w:rFonts w:asciiTheme="majorHAnsi" w:hAnsiTheme="majorHAnsi" w:cs="Times New Roman"/>
        </w:rPr>
        <w:t>].</w:t>
      </w:r>
    </w:p>
    <w:p w14:paraId="5041C041" w14:textId="2057A952" w:rsidR="002A0BD1" w:rsidRPr="002A0BD1" w:rsidRDefault="002A0BD1" w:rsidP="002A0BD1">
      <w:pPr>
        <w:rPr>
          <w:rFonts w:asciiTheme="majorHAnsi" w:hAnsiTheme="majorHAnsi" w:cs="Times New Roman"/>
        </w:rPr>
      </w:pPr>
      <w:r w:rsidRPr="002A0BD1">
        <w:rPr>
          <w:rFonts w:asciiTheme="majorHAnsi" w:hAnsiTheme="majorHAnsi" w:cs="Times New Roman"/>
        </w:rPr>
        <w:t>Modern clinical decision support employs classification, prediction, inference, clustering, time-series anomaly detection, and chain reasoning [</w:t>
      </w:r>
      <w:r w:rsidR="00C42A23">
        <w:rPr>
          <w:rFonts w:asciiTheme="majorHAnsi" w:hAnsiTheme="majorHAnsi" w:cs="Times New Roman"/>
        </w:rPr>
        <w:t>5</w:t>
      </w:r>
      <w:r w:rsidRPr="002A0BD1">
        <w:rPr>
          <w:rFonts w:asciiTheme="majorHAnsi" w:hAnsiTheme="majorHAnsi" w:cs="Times New Roman"/>
        </w:rPr>
        <w:t>]. Agentic AI frameworks extend these techniques into multi-step autonomous pipelines that route queries, apply domain-specific reasoning, and produce structured, auditable decisions [3] moving health care AI from static rules toward adaptive reasoning systems.</w:t>
      </w:r>
    </w:p>
    <w:p w14:paraId="05795369" w14:textId="62C11B70" w:rsidR="002A0BD1" w:rsidRPr="002A0BD1" w:rsidRDefault="002A0BD1" w:rsidP="002A0BD1">
      <w:pPr>
        <w:rPr>
          <w:rFonts w:asciiTheme="majorHAnsi" w:hAnsiTheme="majorHAnsi" w:cs="Times New Roman"/>
          <w:b/>
          <w:bCs/>
        </w:rPr>
      </w:pPr>
    </w:p>
    <w:p w14:paraId="1A8195CC" w14:textId="77777777" w:rsidR="002A0BD1" w:rsidRPr="002A0BD1" w:rsidRDefault="002A0BD1" w:rsidP="002A0BD1">
      <w:pPr>
        <w:rPr>
          <w:rFonts w:asciiTheme="majorHAnsi" w:hAnsiTheme="majorHAnsi" w:cs="Times New Roman"/>
          <w:b/>
          <w:bCs/>
        </w:rPr>
      </w:pPr>
      <w:r w:rsidRPr="002A0BD1">
        <w:rPr>
          <w:rFonts w:asciiTheme="majorHAnsi" w:hAnsiTheme="majorHAnsi" w:cs="Times New Roman"/>
          <w:b/>
          <w:bCs/>
        </w:rPr>
        <w:t>Relevant Trends</w:t>
      </w:r>
    </w:p>
    <w:p w14:paraId="785C84DA" w14:textId="4F1F826C" w:rsidR="002A0BD1" w:rsidRPr="002A0BD1" w:rsidRDefault="002A0BD1" w:rsidP="002A0BD1">
      <w:pPr>
        <w:rPr>
          <w:rFonts w:asciiTheme="majorHAnsi" w:hAnsiTheme="majorHAnsi" w:cs="Times New Roman"/>
        </w:rPr>
      </w:pPr>
      <w:r w:rsidRPr="002A0BD1">
        <w:rPr>
          <w:rFonts w:asciiTheme="majorHAnsi" w:hAnsiTheme="majorHAnsi" w:cs="Times New Roman"/>
        </w:rPr>
        <w:t>Large language models have shifted the paradigm from rule-based decision support to reasoning-capable AI capable of interpreting clinical text and generating evidence-based recommendations [</w:t>
      </w:r>
      <w:r w:rsidR="00C42A23">
        <w:rPr>
          <w:rFonts w:asciiTheme="majorHAnsi" w:hAnsiTheme="majorHAnsi" w:cs="Times New Roman"/>
        </w:rPr>
        <w:t>4</w:t>
      </w:r>
      <w:r w:rsidRPr="002A0BD1">
        <w:rPr>
          <w:rFonts w:asciiTheme="majorHAnsi" w:hAnsiTheme="majorHAnsi" w:cs="Times New Roman"/>
        </w:rPr>
        <w:t xml:space="preserve">, </w:t>
      </w:r>
      <w:r w:rsidR="00C42A23">
        <w:rPr>
          <w:rFonts w:asciiTheme="majorHAnsi" w:hAnsiTheme="majorHAnsi" w:cs="Times New Roman"/>
        </w:rPr>
        <w:t>6</w:t>
      </w:r>
      <w:r w:rsidRPr="002A0BD1">
        <w:rPr>
          <w:rFonts w:asciiTheme="majorHAnsi" w:hAnsiTheme="majorHAnsi" w:cs="Times New Roman"/>
        </w:rPr>
        <w:t>]. Simultaneously, agentic architectures composed of multiple specialized agents enable automated workflows that span clinical review, coding validation, and operational triage within a single pipeline [3]. Alongside these technical advances, the ONC and CMS have issued guidance requiring transparency and explainability in AI-assisted payment and clinical decisions, elevating the importance of AI governance and audit frameworks across the industry.</w:t>
      </w:r>
    </w:p>
    <w:p w14:paraId="112B1E04" w14:textId="25468B14" w:rsidR="002A0BD1" w:rsidRPr="002A0BD1" w:rsidRDefault="002A0BD1" w:rsidP="002A0BD1">
      <w:pPr>
        <w:rPr>
          <w:rFonts w:asciiTheme="majorHAnsi" w:hAnsiTheme="majorHAnsi" w:cs="Times New Roman"/>
          <w:b/>
          <w:bCs/>
        </w:rPr>
      </w:pPr>
      <w:r>
        <w:rPr>
          <w:rFonts w:asciiTheme="majorHAnsi" w:hAnsiTheme="majorHAnsi" w:cs="Times New Roman"/>
          <w:b/>
          <w:bCs/>
        </w:rPr>
        <w:br/>
      </w:r>
      <w:r w:rsidRPr="002A0BD1">
        <w:rPr>
          <w:rFonts w:asciiTheme="majorHAnsi" w:hAnsiTheme="majorHAnsi" w:cs="Times New Roman"/>
          <w:b/>
          <w:bCs/>
        </w:rPr>
        <w:t>Opportunities for Cotiviti</w:t>
      </w:r>
    </w:p>
    <w:p w14:paraId="3E2B4C7B" w14:textId="22348208" w:rsidR="002A0BD1" w:rsidRPr="002A0BD1" w:rsidRDefault="002A0BD1" w:rsidP="002A0BD1">
      <w:pPr>
        <w:rPr>
          <w:rFonts w:asciiTheme="majorHAnsi" w:hAnsiTheme="majorHAnsi" w:cs="Times New Roman"/>
        </w:rPr>
      </w:pPr>
      <w:r w:rsidRPr="002A0BD1">
        <w:rPr>
          <w:rFonts w:asciiTheme="majorHAnsi" w:hAnsiTheme="majorHAnsi" w:cs="Times New Roman"/>
        </w:rPr>
        <w:t xml:space="preserve">The most immediate opportunity is autonomous payment integrity. Healthcare fraud, waste, and abuse cost the U.S. system an estimated $300 billion annually, with waste accounting for roughly 30% of total spending [1]. Agentic AI pipelines combining LLM-based medical necessity review, </w:t>
      </w:r>
      <w:r w:rsidRPr="002A0BD1">
        <w:rPr>
          <w:rFonts w:asciiTheme="majorHAnsi" w:hAnsiTheme="majorHAnsi" w:cs="Times New Roman"/>
        </w:rPr>
        <w:lastRenderedPageBreak/>
        <w:t xml:space="preserve">coding validation, and anomaly detection can reduce manual review time and increase FWA detection rates directly strengthening Cotiviti's core value proposition [3, </w:t>
      </w:r>
      <w:r w:rsidR="00C42A23">
        <w:rPr>
          <w:rFonts w:asciiTheme="majorHAnsi" w:hAnsiTheme="majorHAnsi" w:cs="Times New Roman"/>
        </w:rPr>
        <w:t>4</w:t>
      </w:r>
      <w:r w:rsidRPr="002A0BD1">
        <w:rPr>
          <w:rFonts w:asciiTheme="majorHAnsi" w:hAnsiTheme="majorHAnsi" w:cs="Times New Roman"/>
        </w:rPr>
        <w:t>].</w:t>
      </w:r>
    </w:p>
    <w:p w14:paraId="1E21DA09" w14:textId="2F16206B" w:rsidR="002A0BD1" w:rsidRPr="002A0BD1" w:rsidRDefault="002A0BD1" w:rsidP="002A0BD1">
      <w:pPr>
        <w:rPr>
          <w:rFonts w:asciiTheme="majorHAnsi" w:hAnsiTheme="majorHAnsi" w:cs="Times New Roman"/>
        </w:rPr>
      </w:pPr>
      <w:r w:rsidRPr="002A0BD1">
        <w:rPr>
          <w:rFonts w:asciiTheme="majorHAnsi" w:hAnsiTheme="majorHAnsi" w:cs="Times New Roman"/>
        </w:rPr>
        <w:t>A second opportunity is real-time pattern recognition. Time-series anomaly detection applied to claims data can surface billing anomalies and utilization spikes before payment is issued [</w:t>
      </w:r>
      <w:r w:rsidR="00C42A23">
        <w:rPr>
          <w:rFonts w:asciiTheme="majorHAnsi" w:hAnsiTheme="majorHAnsi" w:cs="Times New Roman"/>
        </w:rPr>
        <w:t>5</w:t>
      </w:r>
      <w:r w:rsidRPr="002A0BD1">
        <w:rPr>
          <w:rFonts w:asciiTheme="majorHAnsi" w:hAnsiTheme="majorHAnsi" w:cs="Times New Roman"/>
        </w:rPr>
        <w:t xml:space="preserve">], shifting Cotiviti from retrospective audit to prospective accuracy a higher-value service for payer clients. Third, as regulators mandate explainability, Cotiviti's proprietary payment accuracy data </w:t>
      </w:r>
      <w:r w:rsidR="00B3595E" w:rsidRPr="002A0BD1">
        <w:rPr>
          <w:rFonts w:asciiTheme="majorHAnsi" w:hAnsiTheme="majorHAnsi" w:cs="Times New Roman"/>
        </w:rPr>
        <w:t>positions</w:t>
      </w:r>
      <w:r w:rsidRPr="002A0BD1">
        <w:rPr>
          <w:rFonts w:asciiTheme="majorHAnsi" w:hAnsiTheme="majorHAnsi" w:cs="Times New Roman"/>
        </w:rPr>
        <w:t xml:space="preserve"> uniquely to build an AI governance product wrapping any clinical AI decision with evaluation scoring, audit logging, and escalation workflows.</w:t>
      </w:r>
    </w:p>
    <w:p w14:paraId="13B64C76" w14:textId="1E524D9E" w:rsidR="002A0BD1" w:rsidRPr="002A0BD1" w:rsidRDefault="002A0BD1" w:rsidP="002A0BD1">
      <w:pPr>
        <w:rPr>
          <w:rFonts w:asciiTheme="majorHAnsi" w:hAnsiTheme="majorHAnsi" w:cs="Times New Roman"/>
          <w:b/>
          <w:bCs/>
        </w:rPr>
      </w:pPr>
    </w:p>
    <w:p w14:paraId="539FFF64" w14:textId="77777777" w:rsidR="002A0BD1" w:rsidRPr="002A0BD1" w:rsidRDefault="002A0BD1" w:rsidP="002A0BD1">
      <w:pPr>
        <w:rPr>
          <w:rFonts w:asciiTheme="majorHAnsi" w:hAnsiTheme="majorHAnsi" w:cs="Times New Roman"/>
          <w:b/>
          <w:bCs/>
        </w:rPr>
      </w:pPr>
      <w:r w:rsidRPr="002A0BD1">
        <w:rPr>
          <w:rFonts w:asciiTheme="majorHAnsi" w:hAnsiTheme="majorHAnsi" w:cs="Times New Roman"/>
          <w:b/>
          <w:bCs/>
        </w:rPr>
        <w:t>Threats and Risks</w:t>
      </w:r>
    </w:p>
    <w:p w14:paraId="3C1585D5" w14:textId="251B4474" w:rsidR="002A0BD1" w:rsidRPr="002A0BD1" w:rsidRDefault="002A0BD1" w:rsidP="002A0BD1">
      <w:pPr>
        <w:rPr>
          <w:rFonts w:asciiTheme="majorHAnsi" w:hAnsiTheme="majorHAnsi" w:cs="Times New Roman"/>
        </w:rPr>
      </w:pPr>
      <w:r w:rsidRPr="002A0BD1">
        <w:rPr>
          <w:rFonts w:asciiTheme="majorHAnsi" w:hAnsiTheme="majorHAnsi" w:cs="Times New Roman"/>
        </w:rPr>
        <w:t>Model hallucination poses the primary technical risk. LLMs can generate plausible but incorrect clinical or regulatory reasoning [</w:t>
      </w:r>
      <w:r w:rsidR="00C42A23">
        <w:rPr>
          <w:rFonts w:asciiTheme="majorHAnsi" w:hAnsiTheme="majorHAnsi" w:cs="Times New Roman"/>
        </w:rPr>
        <w:t>6</w:t>
      </w:r>
      <w:r w:rsidRPr="002A0BD1">
        <w:rPr>
          <w:rFonts w:asciiTheme="majorHAnsi" w:hAnsiTheme="majorHAnsi" w:cs="Times New Roman"/>
        </w:rPr>
        <w:t>], and erroneous AI-generated payment decisions carry direct financial and legal liability. Robust evaluation layers and human-in-the-loop approval are essential before deployment. HIPAA compliance is a parallel concern deploying LLMs on protected health information requires strict data governance and business associate agreements. Finally, large EHR vendors and cloud providers are building native AI decision support capabilities, requiring Cotiviti to differentiate through domain depth and proprietary data rather than general-purpose AI [</w:t>
      </w:r>
      <w:r w:rsidR="00C42A23">
        <w:rPr>
          <w:rFonts w:asciiTheme="majorHAnsi" w:hAnsiTheme="majorHAnsi" w:cs="Times New Roman"/>
        </w:rPr>
        <w:t>5</w:t>
      </w:r>
      <w:r w:rsidRPr="002A0BD1">
        <w:rPr>
          <w:rFonts w:asciiTheme="majorHAnsi" w:hAnsiTheme="majorHAnsi" w:cs="Times New Roman"/>
        </w:rPr>
        <w:t>].</w:t>
      </w:r>
    </w:p>
    <w:p w14:paraId="20BC0270" w14:textId="56786796" w:rsidR="002A0BD1" w:rsidRPr="002A0BD1" w:rsidRDefault="002A0BD1" w:rsidP="002A0BD1">
      <w:pPr>
        <w:rPr>
          <w:rFonts w:asciiTheme="majorHAnsi" w:hAnsiTheme="majorHAnsi" w:cs="Times New Roman"/>
          <w:b/>
          <w:bCs/>
        </w:rPr>
      </w:pPr>
    </w:p>
    <w:p w14:paraId="67B65628" w14:textId="77777777" w:rsidR="002A0BD1" w:rsidRPr="002A0BD1" w:rsidRDefault="002A0BD1" w:rsidP="002A0BD1">
      <w:pPr>
        <w:rPr>
          <w:rFonts w:asciiTheme="majorHAnsi" w:hAnsiTheme="majorHAnsi" w:cs="Times New Roman"/>
          <w:b/>
          <w:bCs/>
        </w:rPr>
      </w:pPr>
      <w:r w:rsidRPr="002A0BD1">
        <w:rPr>
          <w:rFonts w:asciiTheme="majorHAnsi" w:hAnsiTheme="majorHAnsi" w:cs="Times New Roman"/>
          <w:b/>
          <w:bCs/>
        </w:rPr>
        <w:t>Strategic Recommendations</w:t>
      </w:r>
    </w:p>
    <w:p w14:paraId="591423B5" w14:textId="4616BA9D" w:rsidR="002A0BD1" w:rsidRPr="002A0BD1" w:rsidRDefault="002A0BD1" w:rsidP="002A0BD1">
      <w:pPr>
        <w:rPr>
          <w:rFonts w:asciiTheme="majorHAnsi" w:hAnsiTheme="majorHAnsi" w:cs="Times New Roman"/>
        </w:rPr>
      </w:pPr>
      <w:r w:rsidRPr="002A0BD1">
        <w:rPr>
          <w:rFonts w:asciiTheme="majorHAnsi" w:hAnsiTheme="majorHAnsi" w:cs="Times New Roman"/>
        </w:rPr>
        <w:t xml:space="preserve">Cotiviti should pursue three investments. First, develop a production agentic payment integrity pipeline combining claim classification, LLM-based medical necessity review, and anomaly detection extending existing capabilities with generative AI reasoning [3, </w:t>
      </w:r>
      <w:r w:rsidR="00C42A23">
        <w:rPr>
          <w:rFonts w:asciiTheme="majorHAnsi" w:hAnsiTheme="majorHAnsi" w:cs="Times New Roman"/>
        </w:rPr>
        <w:t>4</w:t>
      </w:r>
      <w:r w:rsidRPr="002A0BD1">
        <w:rPr>
          <w:rFonts w:asciiTheme="majorHAnsi" w:hAnsiTheme="majorHAnsi" w:cs="Times New Roman"/>
        </w:rPr>
        <w:t>]. Second, build a clinical AI governance module offering evaluation scoring, audit logging, and configurable human escalation as a standalone compliance product for payer clients. Third, establish a healthcare AI evaluation benchmark using Cotiviti's proprietary data [</w:t>
      </w:r>
      <w:r w:rsidR="00C42A23">
        <w:rPr>
          <w:rFonts w:asciiTheme="majorHAnsi" w:hAnsiTheme="majorHAnsi" w:cs="Times New Roman"/>
        </w:rPr>
        <w:t>5</w:t>
      </w:r>
      <w:r w:rsidRPr="002A0BD1">
        <w:rPr>
          <w:rFonts w:asciiTheme="majorHAnsi" w:hAnsiTheme="majorHAnsi" w:cs="Times New Roman"/>
        </w:rPr>
        <w:t>] an asset that defines industry standards and provides durable competitive differentiation as the AI health care market matures.</w:t>
      </w:r>
    </w:p>
    <w:p w14:paraId="74AAB529" w14:textId="1EEE8FD0" w:rsidR="002A0BD1" w:rsidRPr="002A0BD1" w:rsidRDefault="002A0BD1" w:rsidP="002A0BD1">
      <w:pPr>
        <w:rPr>
          <w:rFonts w:asciiTheme="majorHAnsi" w:hAnsiTheme="majorHAnsi" w:cs="Times New Roman"/>
          <w:b/>
          <w:bCs/>
        </w:rPr>
      </w:pPr>
      <w:r>
        <w:rPr>
          <w:rFonts w:asciiTheme="majorHAnsi" w:hAnsiTheme="majorHAnsi" w:cs="Times New Roman"/>
          <w:b/>
          <w:bCs/>
        </w:rPr>
        <w:br/>
      </w:r>
      <w:r>
        <w:rPr>
          <w:rFonts w:asciiTheme="majorHAnsi" w:hAnsiTheme="majorHAnsi" w:cs="Times New Roman"/>
          <w:b/>
          <w:bCs/>
        </w:rPr>
        <w:br/>
      </w:r>
      <w:r>
        <w:rPr>
          <w:rFonts w:asciiTheme="majorHAnsi" w:hAnsiTheme="majorHAnsi" w:cs="Times New Roman"/>
          <w:b/>
          <w:bCs/>
        </w:rPr>
        <w:br/>
      </w:r>
      <w:r>
        <w:rPr>
          <w:rFonts w:asciiTheme="majorHAnsi" w:hAnsiTheme="majorHAnsi" w:cs="Times New Roman"/>
          <w:b/>
          <w:bCs/>
        </w:rPr>
        <w:br/>
      </w:r>
      <w:r>
        <w:rPr>
          <w:rFonts w:asciiTheme="majorHAnsi" w:hAnsiTheme="majorHAnsi" w:cs="Times New Roman"/>
          <w:b/>
          <w:bCs/>
        </w:rPr>
        <w:br/>
      </w:r>
      <w:r>
        <w:rPr>
          <w:rFonts w:asciiTheme="majorHAnsi" w:hAnsiTheme="majorHAnsi" w:cs="Times New Roman"/>
          <w:b/>
          <w:bCs/>
        </w:rPr>
        <w:br/>
      </w:r>
    </w:p>
    <w:p w14:paraId="53F4E100" w14:textId="77777777" w:rsidR="002A0BD1" w:rsidRPr="002A0BD1" w:rsidRDefault="002A0BD1" w:rsidP="002A0BD1">
      <w:pPr>
        <w:rPr>
          <w:rFonts w:asciiTheme="majorHAnsi" w:hAnsiTheme="majorHAnsi" w:cs="Times New Roman"/>
          <w:b/>
          <w:bCs/>
        </w:rPr>
      </w:pPr>
      <w:r w:rsidRPr="002A0BD1">
        <w:rPr>
          <w:rFonts w:asciiTheme="majorHAnsi" w:hAnsiTheme="majorHAnsi" w:cs="Times New Roman"/>
          <w:b/>
          <w:bCs/>
        </w:rPr>
        <w:lastRenderedPageBreak/>
        <w:t>PAGE 3 — References</w:t>
      </w:r>
    </w:p>
    <w:p w14:paraId="7468A79F" w14:textId="0DB8C31A" w:rsidR="002A0BD1" w:rsidRPr="002A0BD1" w:rsidRDefault="002A0BD1" w:rsidP="002A0BD1">
      <w:pPr>
        <w:rPr>
          <w:rFonts w:asciiTheme="majorHAnsi" w:hAnsiTheme="majorHAnsi" w:cs="Times New Roman"/>
          <w:b/>
          <w:bCs/>
        </w:rPr>
      </w:pPr>
    </w:p>
    <w:p w14:paraId="6DF36ACE" w14:textId="77777777" w:rsidR="002A0BD1" w:rsidRPr="002A0BD1" w:rsidRDefault="002A0BD1" w:rsidP="002A0BD1">
      <w:pPr>
        <w:rPr>
          <w:rFonts w:asciiTheme="majorHAnsi" w:hAnsiTheme="majorHAnsi" w:cs="Times New Roman"/>
        </w:rPr>
      </w:pPr>
      <w:r w:rsidRPr="002A0BD1">
        <w:rPr>
          <w:rFonts w:asciiTheme="majorHAnsi" w:hAnsiTheme="majorHAnsi" w:cs="Times New Roman"/>
        </w:rPr>
        <w:t xml:space="preserve">[1] Berwick, D. M., &amp; Hackbarth, A. D. (2012). Eliminating waste in US health care. </w:t>
      </w:r>
      <w:r w:rsidRPr="002A0BD1">
        <w:rPr>
          <w:rFonts w:asciiTheme="majorHAnsi" w:hAnsiTheme="majorHAnsi" w:cs="Times New Roman"/>
          <w:i/>
          <w:iCs/>
        </w:rPr>
        <w:t>JAMA, 307</w:t>
      </w:r>
      <w:r w:rsidRPr="002A0BD1">
        <w:rPr>
          <w:rFonts w:asciiTheme="majorHAnsi" w:hAnsiTheme="majorHAnsi" w:cs="Times New Roman"/>
        </w:rPr>
        <w:t xml:space="preserve">(14), 1513–1516. </w:t>
      </w:r>
      <w:hyperlink r:id="rId4" w:tgtFrame="_blank" w:history="1">
        <w:r w:rsidRPr="002A0BD1">
          <w:rPr>
            <w:rStyle w:val="Hyperlink"/>
            <w:rFonts w:asciiTheme="majorHAnsi" w:hAnsiTheme="majorHAnsi" w:cs="Times New Roman"/>
          </w:rPr>
          <w:t>https://doi.org/10.10</w:t>
        </w:r>
        <w:r w:rsidRPr="002A0BD1">
          <w:rPr>
            <w:rStyle w:val="Hyperlink"/>
            <w:rFonts w:asciiTheme="majorHAnsi" w:hAnsiTheme="majorHAnsi" w:cs="Times New Roman"/>
          </w:rPr>
          <w:t>0</w:t>
        </w:r>
        <w:r w:rsidRPr="002A0BD1">
          <w:rPr>
            <w:rStyle w:val="Hyperlink"/>
            <w:rFonts w:asciiTheme="majorHAnsi" w:hAnsiTheme="majorHAnsi" w:cs="Times New Roman"/>
          </w:rPr>
          <w:t>1/jama.2012.362</w:t>
        </w:r>
      </w:hyperlink>
    </w:p>
    <w:p w14:paraId="2E555E58" w14:textId="77777777" w:rsidR="002A0BD1" w:rsidRPr="002A0BD1" w:rsidRDefault="002A0BD1" w:rsidP="002A0BD1">
      <w:pPr>
        <w:rPr>
          <w:rFonts w:asciiTheme="majorHAnsi" w:hAnsiTheme="majorHAnsi" w:cs="Times New Roman"/>
        </w:rPr>
      </w:pPr>
      <w:r w:rsidRPr="002A0BD1">
        <w:rPr>
          <w:rFonts w:asciiTheme="majorHAnsi" w:hAnsiTheme="majorHAnsi" w:cs="Times New Roman"/>
        </w:rPr>
        <w:t xml:space="preserve">[2] Centers for Medicare &amp; Medicaid Services. (2023). </w:t>
      </w:r>
      <w:r w:rsidRPr="002A0BD1">
        <w:rPr>
          <w:rFonts w:asciiTheme="majorHAnsi" w:hAnsiTheme="majorHAnsi" w:cs="Times New Roman"/>
          <w:i/>
          <w:iCs/>
        </w:rPr>
        <w:t>Hospital Readmissions Reduction Program (HRRP)</w:t>
      </w:r>
      <w:r w:rsidRPr="002A0BD1">
        <w:rPr>
          <w:rFonts w:asciiTheme="majorHAnsi" w:hAnsiTheme="majorHAnsi" w:cs="Times New Roman"/>
        </w:rPr>
        <w:t xml:space="preserve">. U.S. Department of Health &amp; Human Services. </w:t>
      </w:r>
      <w:hyperlink r:id="rId5" w:tgtFrame="_blank" w:history="1">
        <w:r w:rsidRPr="002A0BD1">
          <w:rPr>
            <w:rStyle w:val="Hyperlink"/>
            <w:rFonts w:asciiTheme="majorHAnsi" w:hAnsiTheme="majorHAnsi" w:cs="Times New Roman"/>
          </w:rPr>
          <w:t>https://www.cms.gov/Medicare/Quality-Initiatives-Patient-Assessment-Instrume</w:t>
        </w:r>
        <w:r w:rsidRPr="002A0BD1">
          <w:rPr>
            <w:rStyle w:val="Hyperlink"/>
            <w:rFonts w:asciiTheme="majorHAnsi" w:hAnsiTheme="majorHAnsi" w:cs="Times New Roman"/>
          </w:rPr>
          <w:t>n</w:t>
        </w:r>
        <w:r w:rsidRPr="002A0BD1">
          <w:rPr>
            <w:rStyle w:val="Hyperlink"/>
            <w:rFonts w:asciiTheme="majorHAnsi" w:hAnsiTheme="majorHAnsi" w:cs="Times New Roman"/>
          </w:rPr>
          <w:t>ts/Value-Based-Programs/HRRP/Hospital-Readmission-Reduction-Program</w:t>
        </w:r>
      </w:hyperlink>
    </w:p>
    <w:p w14:paraId="1C11130A" w14:textId="77777777" w:rsidR="002A0BD1" w:rsidRPr="002A0BD1" w:rsidRDefault="002A0BD1" w:rsidP="002A0BD1">
      <w:pPr>
        <w:rPr>
          <w:rFonts w:asciiTheme="majorHAnsi" w:hAnsiTheme="majorHAnsi" w:cs="Times New Roman"/>
        </w:rPr>
      </w:pPr>
      <w:r w:rsidRPr="002A0BD1">
        <w:rPr>
          <w:rFonts w:asciiTheme="majorHAnsi" w:hAnsiTheme="majorHAnsi" w:cs="Times New Roman"/>
        </w:rPr>
        <w:t xml:space="preserve">[3] </w:t>
      </w:r>
      <w:proofErr w:type="spellStart"/>
      <w:r w:rsidRPr="002A0BD1">
        <w:rPr>
          <w:rFonts w:asciiTheme="majorHAnsi" w:hAnsiTheme="majorHAnsi" w:cs="Times New Roman"/>
        </w:rPr>
        <w:t>LangChain</w:t>
      </w:r>
      <w:proofErr w:type="spellEnd"/>
      <w:r w:rsidRPr="002A0BD1">
        <w:rPr>
          <w:rFonts w:asciiTheme="majorHAnsi" w:hAnsiTheme="majorHAnsi" w:cs="Times New Roman"/>
        </w:rPr>
        <w:t xml:space="preserve">, Inc. (2024). </w:t>
      </w:r>
      <w:proofErr w:type="spellStart"/>
      <w:r w:rsidRPr="002A0BD1">
        <w:rPr>
          <w:rFonts w:asciiTheme="majorHAnsi" w:hAnsiTheme="majorHAnsi" w:cs="Times New Roman"/>
          <w:i/>
          <w:iCs/>
        </w:rPr>
        <w:t>LangGraph</w:t>
      </w:r>
      <w:proofErr w:type="spellEnd"/>
      <w:r w:rsidRPr="002A0BD1">
        <w:rPr>
          <w:rFonts w:asciiTheme="majorHAnsi" w:hAnsiTheme="majorHAnsi" w:cs="Times New Roman"/>
          <w:i/>
          <w:iCs/>
        </w:rPr>
        <w:t>: Build stateful, multi-actor applications with LLMs</w:t>
      </w:r>
      <w:r w:rsidRPr="002A0BD1">
        <w:rPr>
          <w:rFonts w:asciiTheme="majorHAnsi" w:hAnsiTheme="majorHAnsi" w:cs="Times New Roman"/>
        </w:rPr>
        <w:t xml:space="preserve">. </w:t>
      </w:r>
      <w:hyperlink r:id="rId6" w:tgtFrame="_blank" w:history="1">
        <w:r w:rsidRPr="002A0BD1">
          <w:rPr>
            <w:rStyle w:val="Hyperlink"/>
            <w:rFonts w:asciiTheme="majorHAnsi" w:hAnsiTheme="majorHAnsi" w:cs="Times New Roman"/>
          </w:rPr>
          <w:t>https://langchain-ai.github.io/la</w:t>
        </w:r>
        <w:r w:rsidRPr="002A0BD1">
          <w:rPr>
            <w:rStyle w:val="Hyperlink"/>
            <w:rFonts w:asciiTheme="majorHAnsi" w:hAnsiTheme="majorHAnsi" w:cs="Times New Roman"/>
          </w:rPr>
          <w:t>n</w:t>
        </w:r>
        <w:r w:rsidRPr="002A0BD1">
          <w:rPr>
            <w:rStyle w:val="Hyperlink"/>
            <w:rFonts w:asciiTheme="majorHAnsi" w:hAnsiTheme="majorHAnsi" w:cs="Times New Roman"/>
          </w:rPr>
          <w:t>ggraph/</w:t>
        </w:r>
      </w:hyperlink>
    </w:p>
    <w:p w14:paraId="790194C7" w14:textId="0201A56D" w:rsidR="002A0BD1" w:rsidRPr="002A0BD1" w:rsidRDefault="002A0BD1" w:rsidP="002A0BD1">
      <w:pPr>
        <w:rPr>
          <w:rFonts w:asciiTheme="majorHAnsi" w:hAnsiTheme="majorHAnsi" w:cs="Times New Roman"/>
        </w:rPr>
      </w:pPr>
      <w:r w:rsidRPr="002A0BD1">
        <w:rPr>
          <w:rFonts w:asciiTheme="majorHAnsi" w:hAnsiTheme="majorHAnsi" w:cs="Times New Roman"/>
        </w:rPr>
        <w:t>[</w:t>
      </w:r>
      <w:r w:rsidR="00C42A23">
        <w:rPr>
          <w:rFonts w:asciiTheme="majorHAnsi" w:hAnsiTheme="majorHAnsi" w:cs="Times New Roman"/>
        </w:rPr>
        <w:t>4</w:t>
      </w:r>
      <w:r w:rsidRPr="002A0BD1">
        <w:rPr>
          <w:rFonts w:asciiTheme="majorHAnsi" w:hAnsiTheme="majorHAnsi" w:cs="Times New Roman"/>
        </w:rPr>
        <w:t xml:space="preserve">] OpenAI. (2024). </w:t>
      </w:r>
      <w:r w:rsidRPr="002A0BD1">
        <w:rPr>
          <w:rFonts w:asciiTheme="majorHAnsi" w:hAnsiTheme="majorHAnsi" w:cs="Times New Roman"/>
          <w:i/>
          <w:iCs/>
        </w:rPr>
        <w:t>GPT-4 technical report</w:t>
      </w:r>
      <w:r w:rsidRPr="002A0BD1">
        <w:rPr>
          <w:rFonts w:asciiTheme="majorHAnsi" w:hAnsiTheme="majorHAnsi" w:cs="Times New Roman"/>
        </w:rPr>
        <w:t xml:space="preserve">. OpenAI. </w:t>
      </w:r>
      <w:hyperlink r:id="rId7" w:tgtFrame="_blank" w:history="1">
        <w:r w:rsidRPr="002A0BD1">
          <w:rPr>
            <w:rStyle w:val="Hyperlink"/>
            <w:rFonts w:asciiTheme="majorHAnsi" w:hAnsiTheme="majorHAnsi" w:cs="Times New Roman"/>
          </w:rPr>
          <w:t>https://openai.co</w:t>
        </w:r>
        <w:r w:rsidRPr="002A0BD1">
          <w:rPr>
            <w:rStyle w:val="Hyperlink"/>
            <w:rFonts w:asciiTheme="majorHAnsi" w:hAnsiTheme="majorHAnsi" w:cs="Times New Roman"/>
          </w:rPr>
          <w:t>m</w:t>
        </w:r>
        <w:r w:rsidRPr="002A0BD1">
          <w:rPr>
            <w:rStyle w:val="Hyperlink"/>
            <w:rFonts w:asciiTheme="majorHAnsi" w:hAnsiTheme="majorHAnsi" w:cs="Times New Roman"/>
          </w:rPr>
          <w:t>/research/gpt-4</w:t>
        </w:r>
      </w:hyperlink>
    </w:p>
    <w:p w14:paraId="4CB59200" w14:textId="73E9005F" w:rsidR="002A0BD1" w:rsidRPr="002A0BD1" w:rsidRDefault="002A0BD1" w:rsidP="002A0BD1">
      <w:pPr>
        <w:rPr>
          <w:rFonts w:asciiTheme="majorHAnsi" w:hAnsiTheme="majorHAnsi" w:cs="Times New Roman"/>
        </w:rPr>
      </w:pPr>
      <w:r w:rsidRPr="002A0BD1">
        <w:rPr>
          <w:rFonts w:asciiTheme="majorHAnsi" w:hAnsiTheme="majorHAnsi" w:cs="Times New Roman"/>
        </w:rPr>
        <w:t>[</w:t>
      </w:r>
      <w:r w:rsidR="00C42A23">
        <w:rPr>
          <w:rFonts w:asciiTheme="majorHAnsi" w:hAnsiTheme="majorHAnsi" w:cs="Times New Roman"/>
        </w:rPr>
        <w:t>5</w:t>
      </w:r>
      <w:r w:rsidRPr="002A0BD1">
        <w:rPr>
          <w:rFonts w:asciiTheme="majorHAnsi" w:hAnsiTheme="majorHAnsi" w:cs="Times New Roman"/>
        </w:rPr>
        <w:t xml:space="preserve">] </w:t>
      </w:r>
      <w:proofErr w:type="spellStart"/>
      <w:r w:rsidRPr="002A0BD1">
        <w:rPr>
          <w:rFonts w:asciiTheme="majorHAnsi" w:hAnsiTheme="majorHAnsi" w:cs="Times New Roman"/>
        </w:rPr>
        <w:t>Rajpurkar</w:t>
      </w:r>
      <w:proofErr w:type="spellEnd"/>
      <w:r w:rsidRPr="002A0BD1">
        <w:rPr>
          <w:rFonts w:asciiTheme="majorHAnsi" w:hAnsiTheme="majorHAnsi" w:cs="Times New Roman"/>
        </w:rPr>
        <w:t xml:space="preserve">, P., Chen, E., Banerjee, O., &amp; Topol, E. J. (2022). AI in health and medicine. </w:t>
      </w:r>
      <w:r w:rsidRPr="002A0BD1">
        <w:rPr>
          <w:rFonts w:asciiTheme="majorHAnsi" w:hAnsiTheme="majorHAnsi" w:cs="Times New Roman"/>
          <w:i/>
          <w:iCs/>
        </w:rPr>
        <w:t>Nature Medicine, 28</w:t>
      </w:r>
      <w:r w:rsidRPr="002A0BD1">
        <w:rPr>
          <w:rFonts w:asciiTheme="majorHAnsi" w:hAnsiTheme="majorHAnsi" w:cs="Times New Roman"/>
        </w:rPr>
        <w:t xml:space="preserve">(1), 31–38. </w:t>
      </w:r>
      <w:hyperlink r:id="rId8" w:tgtFrame="_blank" w:history="1">
        <w:r w:rsidRPr="002A0BD1">
          <w:rPr>
            <w:rStyle w:val="Hyperlink"/>
            <w:rFonts w:asciiTheme="majorHAnsi" w:hAnsiTheme="majorHAnsi" w:cs="Times New Roman"/>
          </w:rPr>
          <w:t>https://doi.org/10.1038</w:t>
        </w:r>
        <w:r w:rsidRPr="002A0BD1">
          <w:rPr>
            <w:rStyle w:val="Hyperlink"/>
            <w:rFonts w:asciiTheme="majorHAnsi" w:hAnsiTheme="majorHAnsi" w:cs="Times New Roman"/>
          </w:rPr>
          <w:t>/</w:t>
        </w:r>
        <w:r w:rsidRPr="002A0BD1">
          <w:rPr>
            <w:rStyle w:val="Hyperlink"/>
            <w:rFonts w:asciiTheme="majorHAnsi" w:hAnsiTheme="majorHAnsi" w:cs="Times New Roman"/>
          </w:rPr>
          <w:t>s41591-021-01614-0</w:t>
        </w:r>
      </w:hyperlink>
    </w:p>
    <w:p w14:paraId="6CAEDFA4" w14:textId="02CCADED" w:rsidR="002A0BD1" w:rsidRPr="002A0BD1" w:rsidRDefault="002A0BD1" w:rsidP="002A0BD1">
      <w:pPr>
        <w:rPr>
          <w:rFonts w:asciiTheme="majorHAnsi" w:hAnsiTheme="majorHAnsi" w:cs="Times New Roman"/>
        </w:rPr>
      </w:pPr>
      <w:r w:rsidRPr="002A0BD1">
        <w:rPr>
          <w:rFonts w:asciiTheme="majorHAnsi" w:hAnsiTheme="majorHAnsi" w:cs="Times New Roman"/>
        </w:rPr>
        <w:t>[</w:t>
      </w:r>
      <w:r w:rsidR="00C42A23">
        <w:rPr>
          <w:rFonts w:asciiTheme="majorHAnsi" w:hAnsiTheme="majorHAnsi" w:cs="Times New Roman"/>
        </w:rPr>
        <w:t>6</w:t>
      </w:r>
      <w:r w:rsidRPr="002A0BD1">
        <w:rPr>
          <w:rFonts w:asciiTheme="majorHAnsi" w:hAnsiTheme="majorHAnsi" w:cs="Times New Roman"/>
        </w:rPr>
        <w:t xml:space="preserve">] Topol, E. J. (2019). High-performance medicine: The convergence of human and artificial intelligence. </w:t>
      </w:r>
      <w:r w:rsidRPr="002A0BD1">
        <w:rPr>
          <w:rFonts w:asciiTheme="majorHAnsi" w:hAnsiTheme="majorHAnsi" w:cs="Times New Roman"/>
          <w:i/>
          <w:iCs/>
        </w:rPr>
        <w:t>Nature Medicine, 25</w:t>
      </w:r>
      <w:r w:rsidRPr="002A0BD1">
        <w:rPr>
          <w:rFonts w:asciiTheme="majorHAnsi" w:hAnsiTheme="majorHAnsi" w:cs="Times New Roman"/>
        </w:rPr>
        <w:t xml:space="preserve">(1), 44–56. </w:t>
      </w:r>
      <w:hyperlink r:id="rId9" w:tgtFrame="_blank" w:history="1">
        <w:r w:rsidRPr="002A0BD1">
          <w:rPr>
            <w:rStyle w:val="Hyperlink"/>
            <w:rFonts w:asciiTheme="majorHAnsi" w:hAnsiTheme="majorHAnsi" w:cs="Times New Roman"/>
          </w:rPr>
          <w:t>https://</w:t>
        </w:r>
        <w:r w:rsidRPr="002A0BD1">
          <w:rPr>
            <w:rStyle w:val="Hyperlink"/>
            <w:rFonts w:asciiTheme="majorHAnsi" w:hAnsiTheme="majorHAnsi" w:cs="Times New Roman"/>
          </w:rPr>
          <w:t>d</w:t>
        </w:r>
        <w:r w:rsidRPr="002A0BD1">
          <w:rPr>
            <w:rStyle w:val="Hyperlink"/>
            <w:rFonts w:asciiTheme="majorHAnsi" w:hAnsiTheme="majorHAnsi" w:cs="Times New Roman"/>
          </w:rPr>
          <w:t>oi.org/10.1038/s41591-018-0300-7</w:t>
        </w:r>
      </w:hyperlink>
    </w:p>
    <w:p w14:paraId="21A304F6" w14:textId="77777777" w:rsidR="002A03ED" w:rsidRPr="002A03ED" w:rsidRDefault="002A03ED" w:rsidP="002A0BD1"/>
    <w:sectPr w:rsidR="002A03ED" w:rsidRPr="002A0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ED"/>
    <w:rsid w:val="002A03ED"/>
    <w:rsid w:val="002A0BD1"/>
    <w:rsid w:val="008F30EB"/>
    <w:rsid w:val="00B3595E"/>
    <w:rsid w:val="00C42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6DC1"/>
  <w15:chartTrackingRefBased/>
  <w15:docId w15:val="{FC4EE03C-9FCB-4BFD-9E20-D6B71793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3ED"/>
    <w:rPr>
      <w:rFonts w:eastAsiaTheme="majorEastAsia" w:cstheme="majorBidi"/>
      <w:color w:val="272727" w:themeColor="text1" w:themeTint="D8"/>
    </w:rPr>
  </w:style>
  <w:style w:type="paragraph" w:styleId="Title">
    <w:name w:val="Title"/>
    <w:basedOn w:val="Normal"/>
    <w:next w:val="Normal"/>
    <w:link w:val="TitleChar"/>
    <w:uiPriority w:val="10"/>
    <w:qFormat/>
    <w:rsid w:val="002A0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3ED"/>
    <w:pPr>
      <w:spacing w:before="160"/>
      <w:jc w:val="center"/>
    </w:pPr>
    <w:rPr>
      <w:i/>
      <w:iCs/>
      <w:color w:val="404040" w:themeColor="text1" w:themeTint="BF"/>
    </w:rPr>
  </w:style>
  <w:style w:type="character" w:customStyle="1" w:styleId="QuoteChar">
    <w:name w:val="Quote Char"/>
    <w:basedOn w:val="DefaultParagraphFont"/>
    <w:link w:val="Quote"/>
    <w:uiPriority w:val="29"/>
    <w:rsid w:val="002A03ED"/>
    <w:rPr>
      <w:i/>
      <w:iCs/>
      <w:color w:val="404040" w:themeColor="text1" w:themeTint="BF"/>
    </w:rPr>
  </w:style>
  <w:style w:type="paragraph" w:styleId="ListParagraph">
    <w:name w:val="List Paragraph"/>
    <w:basedOn w:val="Normal"/>
    <w:uiPriority w:val="34"/>
    <w:qFormat/>
    <w:rsid w:val="002A03ED"/>
    <w:pPr>
      <w:ind w:left="720"/>
      <w:contextualSpacing/>
    </w:pPr>
  </w:style>
  <w:style w:type="character" w:styleId="IntenseEmphasis">
    <w:name w:val="Intense Emphasis"/>
    <w:basedOn w:val="DefaultParagraphFont"/>
    <w:uiPriority w:val="21"/>
    <w:qFormat/>
    <w:rsid w:val="002A03ED"/>
    <w:rPr>
      <w:i/>
      <w:iCs/>
      <w:color w:val="0F4761" w:themeColor="accent1" w:themeShade="BF"/>
    </w:rPr>
  </w:style>
  <w:style w:type="paragraph" w:styleId="IntenseQuote">
    <w:name w:val="Intense Quote"/>
    <w:basedOn w:val="Normal"/>
    <w:next w:val="Normal"/>
    <w:link w:val="IntenseQuoteChar"/>
    <w:uiPriority w:val="30"/>
    <w:qFormat/>
    <w:rsid w:val="002A0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3ED"/>
    <w:rPr>
      <w:i/>
      <w:iCs/>
      <w:color w:val="0F4761" w:themeColor="accent1" w:themeShade="BF"/>
    </w:rPr>
  </w:style>
  <w:style w:type="character" w:styleId="IntenseReference">
    <w:name w:val="Intense Reference"/>
    <w:basedOn w:val="DefaultParagraphFont"/>
    <w:uiPriority w:val="32"/>
    <w:qFormat/>
    <w:rsid w:val="002A03ED"/>
    <w:rPr>
      <w:b/>
      <w:bCs/>
      <w:smallCaps/>
      <w:color w:val="0F4761" w:themeColor="accent1" w:themeShade="BF"/>
      <w:spacing w:val="5"/>
    </w:rPr>
  </w:style>
  <w:style w:type="character" w:styleId="Hyperlink">
    <w:name w:val="Hyperlink"/>
    <w:basedOn w:val="DefaultParagraphFont"/>
    <w:uiPriority w:val="99"/>
    <w:unhideWhenUsed/>
    <w:rsid w:val="002A03ED"/>
    <w:rPr>
      <w:color w:val="467886" w:themeColor="hyperlink"/>
      <w:u w:val="single"/>
    </w:rPr>
  </w:style>
  <w:style w:type="character" w:styleId="UnresolvedMention">
    <w:name w:val="Unresolved Mention"/>
    <w:basedOn w:val="DefaultParagraphFont"/>
    <w:uiPriority w:val="99"/>
    <w:semiHidden/>
    <w:unhideWhenUsed/>
    <w:rsid w:val="002A03ED"/>
    <w:rPr>
      <w:color w:val="605E5C"/>
      <w:shd w:val="clear" w:color="auto" w:fill="E1DFDD"/>
    </w:rPr>
  </w:style>
  <w:style w:type="character" w:styleId="FollowedHyperlink">
    <w:name w:val="FollowedHyperlink"/>
    <w:basedOn w:val="DefaultParagraphFont"/>
    <w:uiPriority w:val="99"/>
    <w:semiHidden/>
    <w:unhideWhenUsed/>
    <w:rsid w:val="002A0B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1-021-01614-0" TargetMode="External"/><Relationship Id="rId3" Type="http://schemas.openxmlformats.org/officeDocument/2006/relationships/webSettings" Target="webSettings.xml"/><Relationship Id="rId7" Type="http://schemas.openxmlformats.org/officeDocument/2006/relationships/hyperlink" Target="https://openai.com/research/gpt-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ngchain-ai.github.io/langgraph/" TargetMode="External"/><Relationship Id="rId11" Type="http://schemas.openxmlformats.org/officeDocument/2006/relationships/theme" Target="theme/theme1.xml"/><Relationship Id="rId5" Type="http://schemas.openxmlformats.org/officeDocument/2006/relationships/hyperlink" Target="https://www.cms.gov/Medicare/Quality-Initiatives-Patient-Assessment-Instruments/Value-Based-Programs/HRRP/Hospital-Readmission-Reduction-Program" TargetMode="External"/><Relationship Id="rId10" Type="http://schemas.openxmlformats.org/officeDocument/2006/relationships/fontTable" Target="fontTable.xml"/><Relationship Id="rId4" Type="http://schemas.openxmlformats.org/officeDocument/2006/relationships/hyperlink" Target="https://doi.org/10.1001/jama.2012.362" TargetMode="External"/><Relationship Id="rId9" Type="http://schemas.openxmlformats.org/officeDocument/2006/relationships/hyperlink" Target="https://doi.org/10.1038/s41591-018-03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Kadaru, Sai Deepa</dc:creator>
  <cp:keywords/>
  <dc:description/>
  <cp:lastModifiedBy>Kadaru, Sai Deepa</cp:lastModifiedBy>
  <cp:revision>3</cp:revision>
  <dcterms:created xsi:type="dcterms:W3CDTF">2026-06-27T00:36:00Z</dcterms:created>
  <dcterms:modified xsi:type="dcterms:W3CDTF">2026-06-27T00:54:00Z</dcterms:modified>
</cp:coreProperties>
</file>