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  <w:jc w:val="center"/>
      </w:pPr>
      <w:r>
        <w:rPr>
          <w:rFonts w:ascii="Aptos Display" w:hAnsi="Aptos Display"/>
          <w:b/>
          <w:color w:val="14534B"/>
          <w:sz w:val="60"/>
        </w:rPr>
        <w:t>FRESHGUARD AI</w:t>
      </w:r>
    </w:p>
    <w:p>
      <w:pPr>
        <w:jc w:val="center"/>
      </w:pPr>
      <w:r>
        <w:rPr>
          <w:b/>
          <w:color w:val="247869"/>
          <w:sz w:val="36"/>
        </w:rPr>
        <w:t>Technology Stack &amp; Tooling</w:t>
      </w:r>
    </w:p>
    <w:p>
      <w:pPr>
        <w:jc w:val="center"/>
      </w:pPr>
      <w:r>
        <w:rPr>
          <w:color w:val="64748B"/>
          <w:sz w:val="22"/>
        </w:rPr>
        <w:t>Practical stack for a fast, reproducible hackathon build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6F4F1"/>
          </w:tcPr>
          <w:p>
            <w:pPr>
              <w:jc w:val="center"/>
            </w:pPr>
            <w:r/>
            <w:r>
              <w:rPr>
                <w:b/>
                <w:color w:val="14534B"/>
                <w:sz w:val="20"/>
              </w:rPr>
              <w:t>Core principle: Collect → Forecast → Detect Risk → Compare Actions → Recommend → Human Approval → Measure Impact</w:t>
            </w:r>
          </w:p>
        </w:tc>
      </w:tr>
    </w:tbl>
    <w:p>
      <w:pPr>
        <w:spacing w:before="360"/>
        <w:jc w:val="center"/>
      </w:pPr>
      <w:r>
        <w:rPr>
          <w:i/>
        </w:rPr>
        <w:t>Hackathon documentation baseline • 9 October 2026</w:t>
      </w:r>
    </w:p>
    <w:p>
      <w:r>
        <w:br w:type="page"/>
      </w:r>
    </w:p>
    <w:p>
      <w:pPr>
        <w:pStyle w:val="Heading1"/>
      </w:pPr>
      <w:r>
        <w:t>1. Locked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84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024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Selected technology</w:t>
            </w:r>
          </w:p>
        </w:tc>
        <w:tc>
          <w:tcPr>
            <w:tcW w:type="dxa" w:w="5040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Reason / use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Frontend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React + Vite + TypeScript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Fast dashboard development</w:t>
            </w:r>
          </w:p>
        </w:tc>
      </w:tr>
      <w:tr>
        <w:tc>
          <w:tcPr>
            <w:tcW w:type="dxa" w:w="158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Styling</w:t>
            </w:r>
          </w:p>
        </w:tc>
        <w:tc>
          <w:tcPr>
            <w:tcW w:type="dxa" w:w="302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Tailwind CSS</w:t>
            </w:r>
          </w:p>
        </w:tc>
        <w:tc>
          <w:tcPr>
            <w:tcW w:type="dxa" w:w="504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Responsive components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Charts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Recharts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Sales, waste, stock and forecast visualizations</w:t>
            </w:r>
          </w:p>
        </w:tc>
      </w:tr>
      <w:tr>
        <w:tc>
          <w:tcPr>
            <w:tcW w:type="dxa" w:w="158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Backend</w:t>
            </w:r>
          </w:p>
        </w:tc>
        <w:tc>
          <w:tcPr>
            <w:tcW w:type="dxa" w:w="302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Python + FastAPI</w:t>
            </w:r>
          </w:p>
        </w:tc>
        <w:tc>
          <w:tcPr>
            <w:tcW w:type="dxa" w:w="504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REST API and Python model integration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Data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Pandas + NumPy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CSV ingestion, transformations and metrics</w:t>
            </w:r>
          </w:p>
        </w:tc>
      </w:tr>
      <w:tr>
        <w:tc>
          <w:tcPr>
            <w:tcW w:type="dxa" w:w="158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ML</w:t>
            </w:r>
          </w:p>
        </w:tc>
        <w:tc>
          <w:tcPr>
            <w:tcW w:type="dxa" w:w="302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scikit-learn</w:t>
            </w:r>
          </w:p>
        </w:tc>
        <w:tc>
          <w:tcPr>
            <w:tcW w:type="dxa" w:w="504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Demand forecast model and evaluation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Agent workflow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Python specialist modules + coordinator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Transparent multi-agent behavior without overengineering</w:t>
            </w:r>
          </w:p>
        </w:tc>
      </w:tr>
      <w:tr>
        <w:tc>
          <w:tcPr>
            <w:tcW w:type="dxa" w:w="158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Database</w:t>
            </w:r>
          </w:p>
        </w:tc>
        <w:tc>
          <w:tcPr>
            <w:tcW w:type="dxa" w:w="302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SQLite initially; PostgreSQL/Supabase optional</w:t>
            </w:r>
          </w:p>
        </w:tc>
        <w:tc>
          <w:tcPr>
            <w:tcW w:type="dxa" w:w="504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Persist demo data, decisions and logs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Input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CSV + simulated POS/inventory interface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Reproducible scenarios without retailer access</w:t>
            </w:r>
          </w:p>
        </w:tc>
      </w:tr>
      <w:tr>
        <w:tc>
          <w:tcPr>
            <w:tcW w:type="dxa" w:w="158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Deployment</w:t>
            </w:r>
          </w:p>
        </w:tc>
        <w:tc>
          <w:tcPr>
            <w:tcW w:type="dxa" w:w="302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Local demo or Vercel + Python host</w:t>
            </w:r>
          </w:p>
        </w:tc>
        <w:tc>
          <w:tcPr>
            <w:tcW w:type="dxa" w:w="504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Choose whichever is stable before judging</w:t>
            </w:r>
          </w:p>
        </w:tc>
      </w:tr>
    </w:tbl>
    <w:p>
      <w:pPr>
        <w:spacing w:after="20"/>
      </w:pPr>
    </w:p>
    <w:p>
      <w:pPr>
        <w:pStyle w:val="Heading1"/>
      </w:pPr>
      <w:r>
        <w:t>2. Technology Selection Rules</w:t>
      </w:r>
    </w:p>
    <w:p>
      <w:pPr>
        <w:pStyle w:val="ListBullet"/>
        <w:spacing w:after="40"/>
      </w:pPr>
      <w:r>
        <w:t>Start with the simplest stack that can demonstrate the complete workflow.</w:t>
      </w:r>
    </w:p>
    <w:p>
      <w:pPr>
        <w:pStyle w:val="ListBullet"/>
        <w:spacing w:after="40"/>
      </w:pPr>
      <w:r>
        <w:t>Use Python for prediction and business constraints; use React for the user interface.</w:t>
      </w:r>
    </w:p>
    <w:p>
      <w:pPr>
        <w:pStyle w:val="ListBullet"/>
        <w:spacing w:after="40"/>
      </w:pPr>
      <w:r>
        <w:t>Keep forecasting and rule calculations deterministic and testable.</w:t>
      </w:r>
    </w:p>
    <w:p>
      <w:pPr>
        <w:pStyle w:val="ListBullet"/>
        <w:spacing w:after="40"/>
      </w:pPr>
      <w:r>
        <w:t>Agents should have narrow inputs/outputs and should not have unrestricted database access.</w:t>
      </w:r>
    </w:p>
    <w:p>
      <w:pPr>
        <w:pStyle w:val="ListBullet"/>
        <w:spacing w:after="40"/>
      </w:pPr>
      <w:r>
        <w:t>Use a simple baseline before adding a complex ML model.</w:t>
      </w:r>
    </w:p>
    <w:p>
      <w:pPr>
        <w:pStyle w:val="ListBullet"/>
        <w:spacing w:after="40"/>
      </w:pPr>
      <w:r>
        <w:t>SQLite is sufficient for a local demo; only add hosted database setup if collaboration or deployment requires it.</w:t>
      </w:r>
    </w:p>
    <w:p>
      <w:pPr>
        <w:pStyle w:val="ListBullet"/>
        <w:spacing w:after="40"/>
      </w:pPr>
      <w:r>
        <w:t>Use simulated data when approved real retail data or POS credentials are unavailable.</w:t>
      </w:r>
    </w:p>
    <w:p>
      <w:pPr>
        <w:pStyle w:val="Heading1"/>
      </w:pPr>
      <w:r>
        <w:t>3. Tooling by Workstream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3888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Tools</w:t>
            </w:r>
          </w:p>
        </w:tc>
        <w:tc>
          <w:tcPr>
            <w:tcW w:type="dxa" w:w="3888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Frontend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VS Code, React, Vite, Tailwind, Recharts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Inventory dashboard, risk queue, approval workflow</w:t>
            </w:r>
          </w:p>
        </w:tc>
      </w:tr>
      <w:tr>
        <w:tc>
          <w:tcPr>
            <w:tcW w:type="dxa" w:w="187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Backend</w:t>
            </w:r>
          </w:p>
        </w:tc>
        <w:tc>
          <w:tcPr>
            <w:tcW w:type="dxa" w:w="38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Python, FastAPI, Pydantic, Uvicorn</w:t>
            </w:r>
          </w:p>
        </w:tc>
        <w:tc>
          <w:tcPr>
            <w:tcW w:type="dxa" w:w="38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API, validation, orchestration endpoints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ML/data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Pandas, NumPy, scikit-learn, Jupyter/VS Code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Prepared data, demand forecast, metrics</w:t>
            </w:r>
          </w:p>
        </w:tc>
      </w:tr>
      <w:tr>
        <w:tc>
          <w:tcPr>
            <w:tcW w:type="dxa" w:w="187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Persistence</w:t>
            </w:r>
          </w:p>
        </w:tc>
        <w:tc>
          <w:tcPr>
            <w:tcW w:type="dxa" w:w="38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SQLite + SQLAlchemy or simple repository layer</w:t>
            </w:r>
          </w:p>
        </w:tc>
        <w:tc>
          <w:tcPr>
            <w:tcW w:type="dxa" w:w="38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Products, daily records, recommendations, audit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Testing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pytest, API docs, browser checks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Unit tests and end-to-end demo validation</w:t>
            </w:r>
          </w:p>
        </w:tc>
      </w:tr>
      <w:tr>
        <w:tc>
          <w:tcPr>
            <w:tcW w:type="dxa" w:w="187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Team collaboration</w:t>
            </w:r>
          </w:p>
        </w:tc>
        <w:tc>
          <w:tcPr>
            <w:tcW w:type="dxa" w:w="38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Git, GitHub, issues, feature branches</w:t>
            </w:r>
          </w:p>
        </w:tc>
        <w:tc>
          <w:tcPr>
            <w:tcW w:type="dxa" w:w="38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Parallel implementation and integration</w:t>
            </w:r>
          </w:p>
        </w:tc>
      </w:tr>
    </w:tbl>
    <w:p>
      <w:pPr>
        <w:spacing w:after="20"/>
      </w:pPr>
    </w:p>
    <w:p>
      <w:pPr>
        <w:pStyle w:val="Heading1"/>
      </w:pPr>
      <w:r>
        <w:t>4. Environment Strategy</w:t>
      </w:r>
    </w:p>
    <w:p>
      <w:pPr>
        <w:pStyle w:val="ListBullet"/>
        <w:spacing w:after="40"/>
      </w:pPr>
      <w:r>
        <w:t>Use one documented Python virtual environment for the backend.</w:t>
      </w:r>
    </w:p>
    <w:p>
      <w:pPr>
        <w:pStyle w:val="ListBullet"/>
        <w:spacing w:after="40"/>
      </w:pPr>
      <w:r>
        <w:t>Keep frontend and backend in separate folders or packages.</w:t>
      </w:r>
    </w:p>
    <w:p>
      <w:pPr>
        <w:pStyle w:val="ListBullet"/>
        <w:spacing w:after="40"/>
      </w:pPr>
      <w:r>
        <w:t>Commit an .env.example containing variable names only, never real secrets.</w:t>
      </w:r>
    </w:p>
    <w:p>
      <w:pPr>
        <w:pStyle w:val="ListBullet"/>
        <w:spacing w:after="40"/>
      </w:pPr>
      <w:r>
        <w:t>Provide a seed-data command and one start command for each service.</w:t>
      </w:r>
    </w:p>
    <w:p>
      <w:pPr>
        <w:pStyle w:val="ListBullet"/>
        <w:spacing w:after="40"/>
      </w:pPr>
      <w:r>
        <w:t>Freeze dependencies before final demo; avoid adding libraries without a concrete need.</w:t>
      </w:r>
    </w:p>
    <w:p>
      <w:pPr>
        <w:pStyle w:val="Heading1"/>
      </w:pPr>
      <w:r>
        <w:t>5. Suggested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592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3024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4032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Example / handling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FRESHGUARD_DATABASE_URL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Database connection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sqlite:///./freshguard.db for local demo</w:t>
            </w:r>
          </w:p>
        </w:tc>
      </w:tr>
      <w:tr>
        <w:tc>
          <w:tcPr>
            <w:tcW w:type="dxa" w:w="259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API_HOST</w:t>
            </w:r>
          </w:p>
        </w:tc>
        <w:tc>
          <w:tcPr>
            <w:tcW w:type="dxa" w:w="302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Backend bind address</w:t>
            </w:r>
          </w:p>
        </w:tc>
        <w:tc>
          <w:tcPr>
            <w:tcW w:type="dxa" w:w="403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127.0.0.1 locally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API_PORT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Backend port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8000</w:t>
            </w:r>
          </w:p>
        </w:tc>
      </w:tr>
      <w:tr>
        <w:tc>
          <w:tcPr>
            <w:tcW w:type="dxa" w:w="259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FRONTEND_API_BASE_URL</w:t>
            </w:r>
          </w:p>
        </w:tc>
        <w:tc>
          <w:tcPr>
            <w:tcW w:type="dxa" w:w="302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Frontend API destination</w:t>
            </w:r>
          </w:p>
        </w:tc>
        <w:tc>
          <w:tcPr>
            <w:tcW w:type="dxa" w:w="403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http://localhost:8000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MODEL_PATH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Optional saved model path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Use a project-relative path</w:t>
            </w:r>
          </w:p>
        </w:tc>
      </w:tr>
      <w:tr>
        <w:tc>
          <w:tcPr>
            <w:tcW w:type="dxa" w:w="259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APP_ENV</w:t>
            </w:r>
          </w:p>
        </w:tc>
        <w:tc>
          <w:tcPr>
            <w:tcW w:type="dxa" w:w="302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Environment selector</w:t>
            </w:r>
          </w:p>
        </w:tc>
        <w:tc>
          <w:tcPr>
            <w:tcW w:type="dxa" w:w="403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development / demo / production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AWS_* (optional)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Only if future notifications are implemented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Never commit credentials</w:t>
            </w:r>
          </w:p>
        </w:tc>
      </w:tr>
    </w:tbl>
    <w:p>
      <w:pPr>
        <w:spacing w:after="20"/>
      </w:pPr>
    </w:p>
    <w:p>
      <w:pPr>
        <w:pStyle w:val="Heading1"/>
      </w:pPr>
      <w:r>
        <w:t>6. Intentionally Out of Scope for MVP</w:t>
      </w:r>
    </w:p>
    <w:p>
      <w:pPr>
        <w:pStyle w:val="ListBullet"/>
        <w:spacing w:after="40"/>
      </w:pPr>
      <w:r>
        <w:t>Kubernetes and microservices.</w:t>
      </w:r>
    </w:p>
    <w:p>
      <w:pPr>
        <w:pStyle w:val="ListBullet"/>
        <w:spacing w:after="40"/>
      </w:pPr>
      <w:r>
        <w:t>Real-time Kafka pipelines.</w:t>
      </w:r>
    </w:p>
    <w:p>
      <w:pPr>
        <w:pStyle w:val="ListBullet"/>
        <w:spacing w:after="40"/>
      </w:pPr>
      <w:r>
        <w:t>Live supermarket integrations without credentials and permission.</w:t>
      </w:r>
    </w:p>
    <w:p>
      <w:pPr>
        <w:pStyle w:val="ListBullet"/>
        <w:spacing w:after="40"/>
      </w:pPr>
      <w:r>
        <w:t>Camera-based food recognition or IoT sensors as a dependency.</w:t>
      </w:r>
    </w:p>
    <w:p>
      <w:pPr>
        <w:pStyle w:val="ListBullet"/>
        <w:spacing w:after="40"/>
      </w:pPr>
      <w:r>
        <w:t>Unbounded agent swarms or an LLM for arithmetic.</w:t>
      </w:r>
    </w:p>
    <w:p>
      <w:pPr>
        <w:pStyle w:val="ListBullet"/>
        <w:spacing w:after="40"/>
      </w:pPr>
      <w:r>
        <w:t>Automatic purchase orders, discounts or stock transfers without manager approval.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FreshGuard AI Technical Documentation • Hackathon Prototype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47869"/>
        <w:sz w:val="16"/>
      </w:rPr>
      <w:t>FRESHGUARD AI  |  02 • STACK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D374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53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86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786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453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