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  <w:jc w:val="center"/>
      </w:pPr>
      <w:r>
        <w:rPr>
          <w:rFonts w:ascii="Aptos Display" w:hAnsi="Aptos Display"/>
          <w:b/>
          <w:color w:val="14534B"/>
          <w:sz w:val="60"/>
        </w:rPr>
        <w:t>FRESHGUARD AI</w:t>
      </w:r>
    </w:p>
    <w:p>
      <w:pPr>
        <w:jc w:val="center"/>
      </w:pPr>
      <w:r>
        <w:rPr>
          <w:b/>
          <w:color w:val="247869"/>
          <w:sz w:val="36"/>
        </w:rPr>
        <w:t>Frontend Specification</w:t>
      </w:r>
    </w:p>
    <w:p>
      <w:pPr>
        <w:jc w:val="center"/>
      </w:pPr>
      <w:r>
        <w:rPr>
          <w:color w:val="64748B"/>
          <w:sz w:val="22"/>
        </w:rPr>
        <w:t>Manager-facing dashboard and recommendation review experience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6F4F1"/>
          </w:tcPr>
          <w:p>
            <w:pPr>
              <w:jc w:val="center"/>
            </w:pPr>
            <w:r/>
            <w:r>
              <w:rPr>
                <w:b/>
                <w:color w:val="14534B"/>
                <w:sz w:val="20"/>
              </w:rPr>
              <w:t>Core principle: Collect → Forecast → Detect Risk → Compare Actions → Recommend → Human Approval → Measure Impact</w:t>
            </w:r>
          </w:p>
        </w:tc>
      </w:tr>
    </w:tbl>
    <w:p>
      <w:pPr>
        <w:spacing w:before="360"/>
        <w:jc w:val="center"/>
      </w:pPr>
      <w:r>
        <w:rPr>
          <w:i/>
        </w:rPr>
        <w:t>Hackathon documentation baseline • 9 October 2026</w:t>
      </w:r>
    </w:p>
    <w:p>
      <w:r>
        <w:br w:type="page"/>
      </w:r>
    </w:p>
    <w:p>
      <w:pPr>
        <w:pStyle w:val="Heading1"/>
      </w:pPr>
      <w:r>
        <w:t>1. Frontend Objective</w:t>
      </w:r>
    </w:p>
    <w:p>
      <w:r>
        <w:t>The frontend helps a store manager understand which products need attention, why they are at risk, what action FreshGuard recommends, and what expected trade-offs exist. It should prioritize clear decisions over decorative complexity.</w:t>
      </w:r>
    </w:p>
    <w:p>
      <w:pPr>
        <w:pStyle w:val="Heading1"/>
      </w:pPr>
      <w:r>
        <w:t>2. Frontend Technology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8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Technology</w:t>
            </w:r>
          </w:p>
        </w:tc>
        <w:tc>
          <w:tcPr>
            <w:tcW w:type="dxa" w:w="6336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React + Vite + TypeScript</w:t>
            </w:r>
          </w:p>
        </w:tc>
        <w:tc>
          <w:tcPr>
            <w:tcW w:type="dxa" w:w="6336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Application and typed components</w:t>
            </w:r>
          </w:p>
        </w:tc>
      </w:tr>
      <w:tr>
        <w:tc>
          <w:tcPr>
            <w:tcW w:type="dxa" w:w="3168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Tailwind CSS</w:t>
            </w:r>
          </w:p>
        </w:tc>
        <w:tc>
          <w:tcPr>
            <w:tcW w:type="dxa" w:w="6336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Layout and responsive styling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Recharts</w:t>
            </w:r>
          </w:p>
        </w:tc>
        <w:tc>
          <w:tcPr>
            <w:tcW w:type="dxa" w:w="6336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Forecast, waste and inventory charts</w:t>
            </w:r>
          </w:p>
        </w:tc>
      </w:tr>
      <w:tr>
        <w:tc>
          <w:tcPr>
            <w:tcW w:type="dxa" w:w="3168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Fetch/Axios</w:t>
            </w:r>
          </w:p>
        </w:tc>
        <w:tc>
          <w:tcPr>
            <w:tcW w:type="dxa" w:w="6336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Call FastAPI endpoints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React Router (optional)</w:t>
            </w:r>
          </w:p>
        </w:tc>
        <w:tc>
          <w:tcPr>
            <w:tcW w:type="dxa" w:w="6336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Dashboard, product detail and review routes</w:t>
            </w:r>
          </w:p>
        </w:tc>
      </w:tr>
    </w:tbl>
    <w:p>
      <w:pPr>
        <w:spacing w:after="20"/>
      </w:pPr>
    </w:p>
    <w:p>
      <w:pPr>
        <w:pStyle w:val="Heading1"/>
      </w:pPr>
      <w:r>
        <w:t>3. Main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88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Screen</w:t>
            </w:r>
          </w:p>
        </w:tc>
        <w:tc>
          <w:tcPr>
            <w:tcW w:type="dxa" w:w="4752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Main contents</w:t>
            </w:r>
          </w:p>
        </w:tc>
        <w:tc>
          <w:tcPr>
            <w:tcW w:type="dxa" w:w="2592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Key action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Overview Dashboard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Risk KPIs, high-risk items, waste trend, stockout alerts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Open priority item</w:t>
            </w:r>
          </w:p>
        </w:tc>
      </w:tr>
      <w:tr>
        <w:tc>
          <w:tcPr>
            <w:tcW w:type="dxa" w:w="2088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Inventory / Risk Queue</w:t>
            </w:r>
          </w:p>
        </w:tc>
        <w:tc>
          <w:tcPr>
            <w:tcW w:type="dxa" w:w="4752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Product, store, stock, expiry, forecast demand, risk level</w:t>
            </w:r>
          </w:p>
        </w:tc>
        <w:tc>
          <w:tcPr>
            <w:tcW w:type="dxa" w:w="2592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Filter and sort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Product Detail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Sales history, forecast, stock movement, expiry cohort and evidence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Inspect risk</w:t>
            </w:r>
          </w:p>
        </w:tc>
      </w:tr>
      <w:tr>
        <w:tc>
          <w:tcPr>
            <w:tcW w:type="dxa" w:w="2088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Recommendation Review</w:t>
            </w:r>
          </w:p>
        </w:tc>
        <w:tc>
          <w:tcPr>
            <w:tcW w:type="dxa" w:w="4752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Action, quantity/discount, rationale, confidence, trade-offs</w:t>
            </w:r>
          </w:p>
        </w:tc>
        <w:tc>
          <w:tcPr>
            <w:tcW w:type="dxa" w:w="2592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Approve / Edit / Reject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Scenario Comparison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Baseline vs FreshGuard waste, cost, stockouts and forecast error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Run or review evaluation</w:t>
            </w:r>
          </w:p>
        </w:tc>
      </w:tr>
      <w:tr>
        <w:tc>
          <w:tcPr>
            <w:tcW w:type="dxa" w:w="2088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Audit / Decision History</w:t>
            </w:r>
          </w:p>
        </w:tc>
        <w:tc>
          <w:tcPr>
            <w:tcW w:type="dxa" w:w="4752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Reviewer, timestamp, original recommendation and outcome</w:t>
            </w:r>
          </w:p>
        </w:tc>
        <w:tc>
          <w:tcPr>
            <w:tcW w:type="dxa" w:w="2592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Inspect prior decisions</w:t>
            </w:r>
          </w:p>
        </w:tc>
      </w:tr>
    </w:tbl>
    <w:p>
      <w:pPr>
        <w:spacing w:after="20"/>
      </w:pPr>
    </w:p>
    <w:p>
      <w:pPr>
        <w:pStyle w:val="Heading1"/>
      </w:pPr>
      <w:r>
        <w:t>4. Dashboard Layout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8"/>
          </w:tcPr>
          <w:p>
            <w:r/>
            <w:r>
              <w:rPr>
                <w:rFonts w:ascii="Consolas" w:hAnsi="Consolas"/>
                <w:sz w:val="16"/>
              </w:rPr>
              <w:t>┌─────────────────────────────────────────────────────────┐</w:t>
            </w:r>
            <w:r>
              <w:br/>
            </w:r>
            <w:r>
              <w:rPr>
                <w:rFonts w:ascii="Consolas" w:hAnsi="Consolas"/>
                <w:sz w:val="16"/>
              </w:rPr>
              <w:t>│ FreshGuard AI    Store selector    Date / Refresh       │</w:t>
            </w:r>
            <w:r>
              <w:br/>
            </w:r>
            <w:r>
              <w:rPr>
                <w:rFonts w:ascii="Consolas" w:hAnsi="Consolas"/>
                <w:sz w:val="16"/>
              </w:rPr>
              <w:t>├─────────────┬─────────────┬─────────────┬───────────────┤</w:t>
            </w:r>
            <w:r>
              <w:br/>
            </w:r>
            <w:r>
              <w:rPr>
                <w:rFonts w:ascii="Consolas" w:hAnsi="Consolas"/>
                <w:sz w:val="16"/>
              </w:rPr>
              <w:t>│ High Risk   │ At-Risk SKU │ Waste Cost  │ Stockout Risk │</w:t>
            </w:r>
            <w:r>
              <w:br/>
            </w:r>
            <w:r>
              <w:rPr>
                <w:rFonts w:ascii="Consolas" w:hAnsi="Consolas"/>
                <w:sz w:val="16"/>
              </w:rPr>
              <w:t>├──────────────────────────┬──────────────────────────────┤</w:t>
            </w:r>
            <w:r>
              <w:br/>
            </w:r>
            <w:r>
              <w:rPr>
                <w:rFonts w:ascii="Consolas" w:hAnsi="Consolas"/>
                <w:sz w:val="16"/>
              </w:rPr>
              <w:t>│ Risk / Inventory Queue   │ Sales vs Forecast Chart      │</w:t>
            </w:r>
            <w:r>
              <w:br/>
            </w:r>
            <w:r>
              <w:rPr>
                <w:rFonts w:ascii="Consolas" w:hAnsi="Consolas"/>
                <w:sz w:val="16"/>
              </w:rPr>
              <w:t>├──────────────────────────┴──────────────────────────────┤</w:t>
            </w:r>
            <w:r>
              <w:br/>
            </w:r>
            <w:r>
              <w:rPr>
                <w:rFonts w:ascii="Consolas" w:hAnsi="Consolas"/>
                <w:sz w:val="16"/>
              </w:rPr>
              <w:t>│ Recommended Actions: action • reason • expected impact  │</w:t>
            </w:r>
            <w:r>
              <w:br/>
            </w:r>
            <w:r>
              <w:rPr>
                <w:rFonts w:ascii="Consolas" w:hAnsi="Consolas"/>
                <w:sz w:val="16"/>
              </w:rPr>
              <w:t>└─────────────────────────────────────────────────────────┘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</w:pPr>
      <w:r>
        <w:t>5. Recommendation Detail Experience</w:t>
      </w:r>
    </w:p>
    <w:p>
      <w:pPr>
        <w:pStyle w:val="ListBullet"/>
        <w:spacing w:after="40"/>
      </w:pPr>
      <w:r>
        <w:t>Display the product/store and the inventory snapshot used.</w:t>
      </w:r>
    </w:p>
    <w:p>
      <w:pPr>
        <w:pStyle w:val="ListBullet"/>
        <w:spacing w:after="40"/>
      </w:pPr>
      <w:r>
        <w:t>Show recorded expiry or shelf-life information and the forecast horizon.</w:t>
      </w:r>
    </w:p>
    <w:p>
      <w:pPr>
        <w:pStyle w:val="ListBullet"/>
        <w:spacing w:after="40"/>
      </w:pPr>
      <w:r>
        <w:t>Separate observed facts, calculated values and agent interpretation.</w:t>
      </w:r>
    </w:p>
    <w:p>
      <w:pPr>
        <w:pStyle w:val="ListBullet"/>
        <w:spacing w:after="40"/>
      </w:pPr>
      <w:r>
        <w:t>Show proposed action, quantity or discount level, timing, confidence and estimated trade-offs.</w:t>
      </w:r>
    </w:p>
    <w:p>
      <w:pPr>
        <w:pStyle w:val="ListBullet"/>
        <w:spacing w:after="40"/>
      </w:pPr>
      <w:r>
        <w:t>Explain why other candidate actions were rejected when available.</w:t>
      </w:r>
    </w:p>
    <w:p>
      <w:pPr>
        <w:pStyle w:val="ListBullet"/>
        <w:spacing w:after="40"/>
      </w:pPr>
      <w:r>
        <w:t>Make Approve, Edit and Reject distinct and require confirmation for consequential actions.</w:t>
      </w:r>
    </w:p>
    <w:p>
      <w:pPr>
        <w:pStyle w:val="ListBullet"/>
        <w:spacing w:after="40"/>
      </w:pPr>
      <w:r>
        <w:t>Display whether the scenario is simulated and whether an impact value is predicted or measured.</w:t>
      </w:r>
    </w:p>
    <w:p>
      <w:pPr>
        <w:pStyle w:val="Heading1"/>
      </w:pPr>
      <w:r>
        <w:t>6. Frontend State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448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056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Example fields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Dashboard filters</w:t>
            </w:r>
          </w:p>
        </w:tc>
        <w:tc>
          <w:tcPr>
            <w:tcW w:type="dxa" w:w="7056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storeId, category, riskLevel, dateRange, search</w:t>
            </w:r>
          </w:p>
        </w:tc>
      </w:tr>
      <w:tr>
        <w:tc>
          <w:tcPr>
            <w:tcW w:type="dxa" w:w="2448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Selected product</w:t>
            </w:r>
          </w:p>
        </w:tc>
        <w:tc>
          <w:tcPr>
            <w:tcW w:type="dxa" w:w="7056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productId, storeId, stockSnapshot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Recommendation</w:t>
            </w:r>
          </w:p>
        </w:tc>
        <w:tc>
          <w:tcPr>
            <w:tcW w:type="dxa" w:w="7056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recommendationId, action, quantity, discount, rationale, confidence</w:t>
            </w:r>
          </w:p>
        </w:tc>
      </w:tr>
      <w:tr>
        <w:tc>
          <w:tcPr>
            <w:tcW w:type="dxa" w:w="2448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Review form</w:t>
            </w:r>
          </w:p>
        </w:tc>
        <w:tc>
          <w:tcPr>
            <w:tcW w:type="dxa" w:w="7056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decision, editedAction, editedQuantity, reviewerNote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Evaluation</w:t>
            </w:r>
          </w:p>
        </w:tc>
        <w:tc>
          <w:tcPr>
            <w:tcW w:type="dxa" w:w="7056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scenarioId, baselineMetrics, freshGuardMetrics, runStatus</w:t>
            </w:r>
          </w:p>
        </w:tc>
      </w:tr>
      <w:tr>
        <w:tc>
          <w:tcPr>
            <w:tcW w:type="dxa" w:w="2448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Loading/error</w:t>
            </w:r>
          </w:p>
        </w:tc>
        <w:tc>
          <w:tcPr>
            <w:tcW w:type="dxa" w:w="7056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loading flags, validation errors, API error message</w:t>
            </w:r>
          </w:p>
        </w:tc>
      </w:tr>
    </w:tbl>
    <w:p>
      <w:pPr>
        <w:spacing w:after="20"/>
      </w:pPr>
    </w:p>
    <w:p>
      <w:pPr>
        <w:pStyle w:val="Heading1"/>
      </w:pPr>
      <w:r>
        <w:t>7. API Consumption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008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744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4752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GET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/health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Backend availability</w:t>
            </w:r>
          </w:p>
        </w:tc>
      </w:tr>
      <w:tr>
        <w:tc>
          <w:tcPr>
            <w:tcW w:type="dxa" w:w="1008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GET</w:t>
            </w:r>
          </w:p>
        </w:tc>
        <w:tc>
          <w:tcPr>
            <w:tcW w:type="dxa" w:w="3744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/dashboard/summary</w:t>
            </w:r>
          </w:p>
        </w:tc>
        <w:tc>
          <w:tcPr>
            <w:tcW w:type="dxa" w:w="4752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KPIs and risk counts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GET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/products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Inventory list and filters</w:t>
            </w:r>
          </w:p>
        </w:tc>
      </w:tr>
      <w:tr>
        <w:tc>
          <w:tcPr>
            <w:tcW w:type="dxa" w:w="1008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GET</w:t>
            </w:r>
          </w:p>
        </w:tc>
        <w:tc>
          <w:tcPr>
            <w:tcW w:type="dxa" w:w="3744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/products/{id}/risk</w:t>
            </w:r>
          </w:p>
        </w:tc>
        <w:tc>
          <w:tcPr>
            <w:tcW w:type="dxa" w:w="4752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Product risk and supporting evidence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POST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/forecast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Generate forecast for selected products</w:t>
            </w:r>
          </w:p>
        </w:tc>
      </w:tr>
      <w:tr>
        <w:tc>
          <w:tcPr>
            <w:tcW w:type="dxa" w:w="1008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POST</w:t>
            </w:r>
          </w:p>
        </w:tc>
        <w:tc>
          <w:tcPr>
            <w:tcW w:type="dxa" w:w="3744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/recommendations/run</w:t>
            </w:r>
          </w:p>
        </w:tc>
        <w:tc>
          <w:tcPr>
            <w:tcW w:type="dxa" w:w="4752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Run agents and coordinator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GET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/recommendations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List recommendations</w:t>
            </w:r>
          </w:p>
        </w:tc>
      </w:tr>
      <w:tr>
        <w:tc>
          <w:tcPr>
            <w:tcW w:type="dxa" w:w="1008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PATCH</w:t>
            </w:r>
          </w:p>
        </w:tc>
        <w:tc>
          <w:tcPr>
            <w:tcW w:type="dxa" w:w="3744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/recommendations/{id}/review</w:t>
            </w:r>
          </w:p>
        </w:tc>
        <w:tc>
          <w:tcPr>
            <w:tcW w:type="dxa" w:w="4752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Approve, edit or reject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POST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/evaluation/run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Compare baseline and FreshGuard</w:t>
            </w:r>
          </w:p>
        </w:tc>
      </w:tr>
      <w:tr>
        <w:tc>
          <w:tcPr>
            <w:tcW w:type="dxa" w:w="1008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GET</w:t>
            </w:r>
          </w:p>
        </w:tc>
        <w:tc>
          <w:tcPr>
            <w:tcW w:type="dxa" w:w="3744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/audit</w:t>
            </w:r>
          </w:p>
        </w:tc>
        <w:tc>
          <w:tcPr>
            <w:tcW w:type="dxa" w:w="4752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Review decision history</w:t>
            </w:r>
          </w:p>
        </w:tc>
      </w:tr>
    </w:tbl>
    <w:p>
      <w:pPr>
        <w:spacing w:after="20"/>
      </w:pPr>
    </w:p>
    <w:p>
      <w:pPr>
        <w:pStyle w:val="Heading1"/>
      </w:pPr>
      <w:r>
        <w:t>8. UX and Accessibility Rules</w:t>
      </w:r>
    </w:p>
    <w:p>
      <w:pPr>
        <w:pStyle w:val="ListBullet"/>
        <w:spacing w:after="40"/>
      </w:pPr>
      <w:r>
        <w:t>Use readable risk labels as well as color; never rely on color alone.</w:t>
      </w:r>
    </w:p>
    <w:p>
      <w:pPr>
        <w:pStyle w:val="ListBullet"/>
        <w:spacing w:after="40"/>
      </w:pPr>
      <w:r>
        <w:t>Keep critical items visible but avoid flashing or alarm-heavy UI.</w:t>
      </w:r>
    </w:p>
    <w:p>
      <w:pPr>
        <w:pStyle w:val="ListBullet"/>
        <w:spacing w:after="40"/>
      </w:pPr>
      <w:r>
        <w:t>Show data freshness and missing-data warnings.</w:t>
      </w:r>
    </w:p>
    <w:p>
      <w:pPr>
        <w:pStyle w:val="ListBullet"/>
        <w:spacing w:after="40"/>
      </w:pPr>
      <w:r>
        <w:t>Use plain-language explanations and visible units.</w:t>
      </w:r>
    </w:p>
    <w:p>
      <w:pPr>
        <w:pStyle w:val="ListBullet"/>
        <w:spacing w:after="40"/>
      </w:pPr>
      <w:r>
        <w:t>Provide empty, loading, error and success states.</w:t>
      </w:r>
    </w:p>
    <w:p>
      <w:pPr>
        <w:pStyle w:val="ListBullet"/>
        <w:spacing w:after="40"/>
      </w:pPr>
      <w:r>
        <w:t>Ensure the layout works on laptop and mobile-sized screens.</w:t>
      </w:r>
    </w:p>
    <w:p>
      <w:pPr>
        <w:pStyle w:val="ListBullet"/>
        <w:spacing w:after="40"/>
      </w:pPr>
      <w:r>
        <w:t>Never calculate authoritative risk independently in the browser; display backend results.</w:t>
      </w:r>
    </w:p>
    <w:p>
      <w:pPr>
        <w:pStyle w:val="Heading1"/>
      </w:pPr>
      <w:r>
        <w:t>9. Frontend Definition of Done</w:t>
      </w:r>
    </w:p>
    <w:p>
      <w:pPr>
        <w:pStyle w:val="ListBullet"/>
        <w:spacing w:after="40"/>
      </w:pPr>
      <w:r>
        <w:t>Dashboard loads data from the API or clearly labeled demo fixtures.</w:t>
      </w:r>
    </w:p>
    <w:p>
      <w:pPr>
        <w:pStyle w:val="ListBullet"/>
        <w:spacing w:after="40"/>
      </w:pPr>
      <w:r>
        <w:t>Filters and product selection work.</w:t>
      </w:r>
    </w:p>
    <w:p>
      <w:pPr>
        <w:pStyle w:val="ListBullet"/>
        <w:spacing w:after="40"/>
      </w:pPr>
      <w:r>
        <w:t>A recommendation can be reviewed and its decision persists.</w:t>
      </w:r>
    </w:p>
    <w:p>
      <w:pPr>
        <w:pStyle w:val="ListBullet"/>
        <w:spacing w:after="40"/>
      </w:pPr>
      <w:r>
        <w:t>Forecast and evaluation charts display real computed values.</w:t>
      </w:r>
    </w:p>
    <w:p>
      <w:pPr>
        <w:pStyle w:val="ListBullet"/>
        <w:spacing w:after="40"/>
      </w:pPr>
      <w:r>
        <w:t>UI distinguishes predicted outcomes from observed results.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FreshGuard AI Technical Documentation • Hackathon Prototype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247869"/>
        <w:sz w:val="16"/>
      </w:rPr>
      <w:t>FRESHGUARD AI  |  03 • FRONTEND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D374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53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786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4786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4534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