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Aptos Display" w:hAnsi="Aptos Display"/>
          <w:b/>
          <w:color w:val="14534B"/>
          <w:sz w:val="60"/>
        </w:rPr>
        <w:t>FRESHGUARD AI</w:t>
      </w:r>
    </w:p>
    <w:p>
      <w:pPr>
        <w:jc w:val="center"/>
      </w:pPr>
      <w:r>
        <w:rPr>
          <w:b/>
          <w:color w:val="247869"/>
          <w:sz w:val="36"/>
        </w:rPr>
        <w:t>Agent System Design</w:t>
      </w:r>
    </w:p>
    <w:p>
      <w:pPr>
        <w:jc w:val="center"/>
      </w:pPr>
      <w:r>
        <w:rPr>
          <w:color w:val="64748B"/>
          <w:sz w:val="22"/>
        </w:rPr>
        <w:t>Controlled multi-agent workflow, evidence, orchestration and human approval</w:t>
      </w:r>
    </w:p>
    <w:p/>
    <w:tbl>
      <w:tblPr>
        <w:tblW w:type="auto" w:w="0"/>
        <w:jc w:val="center"/>
        <w:tblLook w:firstColumn="1" w:firstRow="1" w:lastColumn="0" w:lastRow="0" w:noHBand="0" w:noVBand="1" w:val="04A0"/>
      </w:tblPr>
      <w:tblGrid>
        <w:gridCol w:w="10166"/>
      </w:tblGrid>
      <w:tr>
        <w:tc>
          <w:tcPr>
            <w:tcW w:type="dxa" w:w="10166"/>
            <w:shd w:fill="E6F4F1"/>
          </w:tcPr>
          <w:p>
            <w:pPr>
              <w:jc w:val="center"/>
            </w:pPr>
            <w:r/>
            <w:r>
              <w:rPr>
                <w:b/>
                <w:color w:val="14534B"/>
                <w:sz w:val="20"/>
              </w:rPr>
              <w:t>Core principle: Collect → Forecast → Detect Risk → Compare Actions → Recommend → Human Approval → Measure Impact</w:t>
            </w:r>
          </w:p>
        </w:tc>
      </w:tr>
    </w:tbl>
    <w:p>
      <w:pPr>
        <w:spacing w:before="360"/>
        <w:jc w:val="center"/>
      </w:pPr>
      <w:r>
        <w:rPr>
          <w:i/>
        </w:rPr>
        <w:t>Hackathon documentation baseline • 9 October 2026</w:t>
      </w:r>
    </w:p>
    <w:p>
      <w:r>
        <w:br w:type="page"/>
      </w:r>
    </w:p>
    <w:p>
      <w:pPr>
        <w:pStyle w:val="Heading1"/>
      </w:pPr>
      <w:r>
        <w:t>1. Purpose</w:t>
      </w:r>
    </w:p>
    <w:p>
      <w:r>
        <w:t>The agent layer coordinates demand, freshness, replenishment and markdown/transfer analyses. It does not replace deterministic forecasting metrics, inventory calculations or hard business constraints. Its purpose is to combine structured findings into a feasible, explainable recommendation.</w:t>
      </w:r>
    </w:p>
    <w:p>
      <w:pPr>
        <w:pStyle w:val="Heading1"/>
      </w:pPr>
      <w:r>
        <w:t>2. Why the Agent Layer Exists</w:t>
      </w:r>
    </w:p>
    <w:p>
      <w:r>
        <w:t>The forecasting model answers how much product may sell. Risk rules identify likely excess stock or stockouts. The coordinator answers which operational option best balances food waste, availability, margin and action cost.</w:t>
      </w:r>
    </w:p>
    <w:p>
      <w:pPr>
        <w:pStyle w:val="Heading1"/>
      </w:pPr>
      <w:r>
        <w:t>3. Agent Architecture</w:t>
      </w:r>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Product/store snapshot</w:t>
            </w:r>
            <w:r>
              <w:br/>
            </w:r>
            <w:r>
              <w:rPr>
                <w:rFonts w:ascii="Consolas" w:hAnsi="Consolas"/>
                <w:sz w:val="16"/>
              </w:rPr>
              <w:t xml:space="preserve">        ↓</w:t>
            </w:r>
            <w:r>
              <w:br/>
            </w:r>
            <w:r>
              <w:rPr>
                <w:rFonts w:ascii="Consolas" w:hAnsi="Consolas"/>
                <w:sz w:val="16"/>
              </w:rPr>
              <w:t xml:space="preserve">   Orchestrator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              ↓</w:t>
            </w:r>
            <w:r>
              <w:br/>
            </w:r>
            <w:r>
              <w:rPr>
                <w:rFonts w:ascii="Consolas" w:hAnsi="Consolas"/>
                <w:sz w:val="16"/>
              </w:rPr>
              <w:t>Demand       Freshness     Replenishment</w:t>
            </w:r>
            <w:r>
              <w:br/>
            </w:r>
            <w:r>
              <w:rPr>
                <w:rFonts w:ascii="Consolas" w:hAnsi="Consolas"/>
                <w:sz w:val="16"/>
              </w:rPr>
              <w:t>Agent        Agent         Agent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Markdown / Transfer Agent</w:t>
            </w:r>
            <w:r>
              <w:br/>
            </w:r>
            <w:r>
              <w:rPr>
                <w:rFonts w:ascii="Consolas" w:hAnsi="Consolas"/>
                <w:sz w:val="16"/>
              </w:rPr>
              <w:t xml:space="preserve">                ↓</w:t>
            </w:r>
            <w:r>
              <w:br/>
            </w:r>
            <w:r>
              <w:rPr>
                <w:rFonts w:ascii="Consolas" w:hAnsi="Consolas"/>
                <w:sz w:val="16"/>
              </w:rPr>
              <w:t xml:space="preserve">       Constraint Coordinator</w:t>
            </w:r>
            <w:r>
              <w:br/>
            </w:r>
            <w:r>
              <w:rPr>
                <w:rFonts w:ascii="Consolas" w:hAnsi="Consolas"/>
                <w:sz w:val="16"/>
              </w:rPr>
              <w:t xml:space="preserve">                ↓</w:t>
            </w:r>
            <w:r>
              <w:br/>
            </w:r>
            <w:r>
              <w:rPr>
                <w:rFonts w:ascii="Consolas" w:hAnsi="Consolas"/>
                <w:sz w:val="16"/>
              </w:rPr>
              <w:t xml:space="preserve"> Evidence Pack + Recommendation</w:t>
            </w:r>
            <w:r>
              <w:br/>
            </w:r>
            <w:r>
              <w:rPr>
                <w:rFonts w:ascii="Consolas" w:hAnsi="Consolas"/>
                <w:sz w:val="16"/>
              </w:rPr>
              <w:t xml:space="preserve">                ↓</w:t>
            </w:r>
            <w:r>
              <w:br/>
            </w:r>
            <w:r>
              <w:rPr>
                <w:rFonts w:ascii="Consolas" w:hAnsi="Consolas"/>
                <w:sz w:val="16"/>
              </w:rPr>
              <w:t xml:space="preserve">         Manager Review</w:t>
            </w:r>
          </w:p>
        </w:tc>
      </w:tr>
    </w:tbl>
    <w:p/>
    <w:p>
      <w:pPr>
        <w:pStyle w:val="Heading1"/>
      </w:pPr>
      <w:r>
        <w:t>4. Orchestrator Responsibilities</w:t>
      </w:r>
    </w:p>
    <w:p>
      <w:pPr>
        <w:pStyle w:val="ListBullet"/>
        <w:spacing w:after="40"/>
      </w:pPr>
      <w:r>
        <w:t>Start when new data arrives, a scheduled simulation step runs, or a manager requests analysis.</w:t>
      </w:r>
    </w:p>
    <w:p>
      <w:pPr>
        <w:pStyle w:val="ListBullet"/>
        <w:spacing w:after="40"/>
      </w:pPr>
      <w:r>
        <w:t>Load the relevant product/store snapshot and validate its freshness.</w:t>
      </w:r>
    </w:p>
    <w:p>
      <w:pPr>
        <w:pStyle w:val="ListBullet"/>
        <w:spacing w:after="40"/>
      </w:pPr>
      <w:r>
        <w:t>Run the required specialist checks and record each result.</w:t>
      </w:r>
    </w:p>
    <w:p>
      <w:pPr>
        <w:pStyle w:val="ListBullet"/>
        <w:spacing w:after="40"/>
      </w:pPr>
      <w:r>
        <w:t>Skip or flag checks that lack required input rather than inventing values.</w:t>
      </w:r>
    </w:p>
    <w:p>
      <w:pPr>
        <w:pStyle w:val="ListBullet"/>
        <w:spacing w:after="40"/>
      </w:pPr>
      <w:r>
        <w:t>Compare candidate actions and reject those that violate hard constraints.</w:t>
      </w:r>
    </w:p>
    <w:p>
      <w:pPr>
        <w:pStyle w:val="ListBullet"/>
        <w:spacing w:after="40"/>
      </w:pPr>
      <w:r>
        <w:t>Persist progress and allow safe retry after a failed step.</w:t>
      </w:r>
    </w:p>
    <w:p>
      <w:pPr>
        <w:pStyle w:val="ListBullet"/>
        <w:spacing w:after="40"/>
      </w:pPr>
      <w:r>
        <w:t>Stop at a clear recommendation or hand off when evidence is incomplete.</w:t>
      </w:r>
    </w:p>
    <w:p>
      <w:pPr>
        <w:pStyle w:val="Heading1"/>
      </w:pPr>
      <w:r>
        <w:t>5. Investigation Capabilities</w:t>
      </w:r>
    </w:p>
    <w:p>
      <w:pPr>
        <w:pStyle w:val="Heading2"/>
      </w:pPr>
      <w:r>
        <w:t>5.1 Demand Agent</w:t>
      </w:r>
    </w:p>
    <w:p>
      <w:pPr>
        <w:pStyle w:val="ListBullet"/>
        <w:spacing w:after="40"/>
      </w:pPr>
      <w:r>
        <w:t>Uses historical daily sales, price, promotion and optional weather/event features.</w:t>
      </w:r>
    </w:p>
    <w:p>
      <w:pPr>
        <w:pStyle w:val="ListBullet"/>
        <w:spacing w:after="40"/>
      </w:pPr>
      <w:r>
        <w:t>Returns forecast units by day, horizon, model version and evaluation information.</w:t>
      </w:r>
    </w:p>
    <w:p>
      <w:pPr>
        <w:pStyle w:val="ListBullet"/>
        <w:spacing w:after="40"/>
      </w:pPr>
      <w:r>
        <w:t>Reports missing history or high forecast error as uncertainty.</w:t>
      </w:r>
    </w:p>
    <w:p>
      <w:pPr>
        <w:pStyle w:val="Heading2"/>
      </w:pPr>
      <w:r>
        <w:t>5.2 Freshness Agent</w:t>
      </w:r>
    </w:p>
    <w:p>
      <w:pPr>
        <w:pStyle w:val="ListBullet"/>
        <w:spacing w:after="40"/>
      </w:pPr>
      <w:r>
        <w:t>Uses on-hand quantity, expiry cohort, shelf life, forecast sales and recorded waste.</w:t>
      </w:r>
    </w:p>
    <w:p>
      <w:pPr>
        <w:pStyle w:val="ListBullet"/>
        <w:spacing w:after="40"/>
      </w:pPr>
      <w:r>
        <w:t>Estimates quantity potentially unsold before expiry and risk category.</w:t>
      </w:r>
    </w:p>
    <w:p>
      <w:pPr>
        <w:pStyle w:val="ListBullet"/>
        <w:spacing w:after="40"/>
      </w:pPr>
      <w:r>
        <w:t>Does not claim to inspect physical freshness or food safety.</w:t>
      </w:r>
    </w:p>
    <w:p>
      <w:pPr>
        <w:pStyle w:val="Heading2"/>
      </w:pPr>
      <w:r>
        <w:t>5.3 Replenishment Agent</w:t>
      </w:r>
    </w:p>
    <w:p>
      <w:pPr>
        <w:pStyle w:val="ListBullet"/>
        <w:spacing w:after="40"/>
      </w:pPr>
      <w:r>
        <w:t>Compares current stock with expected demand over supplier lead time.</w:t>
      </w:r>
    </w:p>
    <w:p>
      <w:pPr>
        <w:pStyle w:val="ListBullet"/>
        <w:spacing w:after="40"/>
      </w:pPr>
      <w:r>
        <w:t>Recommends order quantity, reduced ordering, or no change.</w:t>
      </w:r>
    </w:p>
    <w:p>
      <w:pPr>
        <w:pStyle w:val="ListBullet"/>
        <w:spacing w:after="40"/>
      </w:pPr>
      <w:r>
        <w:t>Respects minimum order, storage capacity and delivery lead time when configured.</w:t>
      </w:r>
    </w:p>
    <w:p>
      <w:pPr>
        <w:pStyle w:val="Heading2"/>
      </w:pPr>
      <w:r>
        <w:t>5.4 Markdown / Transfer Agent</w:t>
      </w:r>
    </w:p>
    <w:p>
      <w:pPr>
        <w:pStyle w:val="ListBullet"/>
        <w:spacing w:after="40"/>
      </w:pPr>
      <w:r>
        <w:t>Evaluates configured discount options against expected sales and margin.</w:t>
      </w:r>
    </w:p>
    <w:p>
      <w:pPr>
        <w:pStyle w:val="ListBullet"/>
        <w:spacing w:after="40"/>
      </w:pPr>
      <w:r>
        <w:t>Checks whether a receiving store has demand and the stock can arrive before expiry.</w:t>
      </w:r>
    </w:p>
    <w:p>
      <w:pPr>
        <w:pStyle w:val="ListBullet"/>
        <w:spacing w:after="40"/>
      </w:pPr>
      <w:r>
        <w:t>Returns candidate actions with explicit assumptions and cost trade-offs.</w:t>
      </w:r>
    </w:p>
    <w:p>
      <w:pPr>
        <w:pStyle w:val="Heading2"/>
      </w:pPr>
      <w:r>
        <w:t>5.5 Evidence Builder</w:t>
      </w:r>
    </w:p>
    <w:p>
      <w:r>
        <w:t>Assembles a structured evidence pack from stored data, forecasts and rule results. Each important statement must refer to a record, calculation or model output.</w:t>
      </w:r>
    </w:p>
    <w:p>
      <w:pPr>
        <w:pStyle w:val="Heading2"/>
      </w:pPr>
      <w:r>
        <w:t>5.6 Recommendation Agent / Coordinator</w:t>
      </w:r>
    </w:p>
    <w:p>
      <w:r>
        <w:t>Compares feasible candidates using configured business priorities such as waste cost, gross margin, stockout risk, transfer cost and operational constraints. Returns one preferred action plus alternatives when useful.</w:t>
      </w:r>
    </w:p>
    <w:p>
      <w:pPr>
        <w:pStyle w:val="Heading1"/>
      </w:pPr>
      <w:r>
        <w:t>6. Agent Result Contract</w:t>
      </w:r>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AgentResult = {</w:t>
            </w:r>
            <w:r>
              <w:br/>
            </w:r>
            <w:r>
              <w:rPr>
                <w:rFonts w:ascii="Consolas" w:hAnsi="Consolas"/>
                <w:sz w:val="16"/>
              </w:rPr>
              <w:t xml:space="preserve">  agent_name, product_id, store_id,</w:t>
            </w:r>
            <w:r>
              <w:br/>
            </w:r>
            <w:r>
              <w:rPr>
                <w:rFonts w:ascii="Consolas" w:hAnsi="Consolas"/>
                <w:sz w:val="16"/>
              </w:rPr>
              <w:t xml:space="preserve">  findings, evidence_refs, confidence,</w:t>
            </w:r>
            <w:r>
              <w:br/>
            </w:r>
            <w:r>
              <w:rPr>
                <w:rFonts w:ascii="Consolas" w:hAnsi="Consolas"/>
                <w:sz w:val="16"/>
              </w:rPr>
              <w:t xml:space="preserve">  input_snapshot_id, created_at</w:t>
            </w:r>
            <w:r>
              <w:br/>
            </w:r>
            <w:r>
              <w:rPr>
                <w:rFonts w:ascii="Consolas" w:hAnsi="Consolas"/>
                <w:sz w:val="16"/>
              </w:rPr>
              <w:t>}</w:t>
            </w:r>
            <w:r>
              <w:br/>
            </w:r>
            <w:r>
              <w:rPr>
                <w:rFonts w:ascii="Consolas" w:hAnsi="Consolas"/>
                <w:sz w:val="16"/>
              </w:rPr>
            </w:r>
            <w:r>
              <w:br/>
            </w:r>
            <w:r>
              <w:rPr>
                <w:rFonts w:ascii="Consolas" w:hAnsi="Consolas"/>
                <w:sz w:val="16"/>
              </w:rPr>
              <w:t>Recommendation = {</w:t>
            </w:r>
            <w:r>
              <w:br/>
            </w:r>
            <w:r>
              <w:rPr>
                <w:rFonts w:ascii="Consolas" w:hAnsi="Consolas"/>
                <w:sz w:val="16"/>
              </w:rPr>
              <w:t xml:space="preserve">  action_type, quantity_or_discount, timing,</w:t>
            </w:r>
            <w:r>
              <w:br/>
            </w:r>
            <w:r>
              <w:rPr>
                <w:rFonts w:ascii="Consolas" w:hAnsi="Consolas"/>
                <w:sz w:val="16"/>
              </w:rPr>
              <w:t xml:space="preserve">  rationale, confidence, expected_tradeoffs,</w:t>
            </w:r>
            <w:r>
              <w:br/>
            </w:r>
            <w:r>
              <w:rPr>
                <w:rFonts w:ascii="Consolas" w:hAnsi="Consolas"/>
                <w:sz w:val="16"/>
              </w:rPr>
              <w:t xml:space="preserve">  evidence_refs, status: 'PROPOSED'</w:t>
            </w:r>
            <w:r>
              <w:br/>
            </w:r>
            <w:r>
              <w:rPr>
                <w:rFonts w:ascii="Consolas" w:hAnsi="Consolas"/>
                <w:sz w:val="16"/>
              </w:rPr>
              <w:t>}</w:t>
            </w:r>
          </w:p>
        </w:tc>
      </w:tr>
    </w:tbl>
    <w:p/>
    <w:p>
      <w:pPr>
        <w:pStyle w:val="Heading1"/>
      </w:pPr>
      <w:r>
        <w:t>7. Tools and Permissions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4534B"/>
          </w:tcPr>
          <w:p>
            <w:pPr>
              <w:spacing w:after="20"/>
            </w:pPr>
            <w:r/>
            <w:r>
              <w:rPr>
                <w:b/>
                <w:color w:val="FFFFFF"/>
                <w:sz w:val="16"/>
              </w:rPr>
              <w:t>Tool</w:t>
            </w:r>
          </w:p>
        </w:tc>
        <w:tc>
          <w:tcPr>
            <w:tcW w:type="dxa" w:w="3168"/>
            <w:shd w:fill="14534B"/>
          </w:tcPr>
          <w:p>
            <w:pPr>
              <w:spacing w:after="20"/>
            </w:pPr>
            <w:r/>
            <w:r>
              <w:rPr>
                <w:b/>
                <w:color w:val="FFFFFF"/>
                <w:sz w:val="16"/>
              </w:rPr>
              <w:t>Input</w:t>
            </w:r>
          </w:p>
        </w:tc>
        <w:tc>
          <w:tcPr>
            <w:tcW w:type="dxa" w:w="4176"/>
            <w:shd w:fill="14534B"/>
          </w:tcPr>
          <w:p>
            <w:pPr>
              <w:spacing w:after="20"/>
            </w:pPr>
            <w:r/>
            <w:r>
              <w:rPr>
                <w:b/>
                <w:color w:val="FFFFFF"/>
                <w:sz w:val="16"/>
              </w:rPr>
              <w:t>Output</w:t>
            </w:r>
          </w:p>
        </w:tc>
      </w:tr>
      <w:tr>
        <w:tc>
          <w:tcPr>
            <w:tcW w:type="dxa" w:w="2592"/>
            <w:vAlign w:val="center"/>
          </w:tcPr>
          <w:p>
            <w:pPr>
              <w:spacing w:after="20"/>
            </w:pPr>
            <w:r/>
            <w:r>
              <w:rPr>
                <w:sz w:val="16"/>
              </w:rPr>
              <w:t>get_inventory_snapshot</w:t>
            </w:r>
          </w:p>
        </w:tc>
        <w:tc>
          <w:tcPr>
            <w:tcW w:type="dxa" w:w="3168"/>
            <w:vAlign w:val="center"/>
          </w:tcPr>
          <w:p>
            <w:pPr>
              <w:spacing w:after="20"/>
            </w:pPr>
            <w:r/>
            <w:r>
              <w:rPr>
                <w:sz w:val="16"/>
              </w:rPr>
              <w:t>product_id, store_id</w:t>
            </w:r>
          </w:p>
        </w:tc>
        <w:tc>
          <w:tcPr>
            <w:tcW w:type="dxa" w:w="4176"/>
            <w:vAlign w:val="center"/>
          </w:tcPr>
          <w:p>
            <w:pPr>
              <w:spacing w:after="20"/>
            </w:pPr>
            <w:r/>
            <w:r>
              <w:rPr>
                <w:sz w:val="16"/>
              </w:rPr>
              <w:t>Latest validated stock and expiry data</w:t>
            </w:r>
          </w:p>
        </w:tc>
      </w:tr>
      <w:tr>
        <w:tc>
          <w:tcPr>
            <w:tcW w:type="dxa" w:w="2592"/>
            <w:shd w:fill="F1F7F5"/>
            <w:vAlign w:val="center"/>
          </w:tcPr>
          <w:p>
            <w:pPr>
              <w:spacing w:after="20"/>
            </w:pPr>
            <w:r/>
            <w:r>
              <w:rPr>
                <w:sz w:val="16"/>
              </w:rPr>
              <w:t>get_sales_history</w:t>
            </w:r>
          </w:p>
        </w:tc>
        <w:tc>
          <w:tcPr>
            <w:tcW w:type="dxa" w:w="3168"/>
            <w:shd w:fill="F1F7F5"/>
            <w:vAlign w:val="center"/>
          </w:tcPr>
          <w:p>
            <w:pPr>
              <w:spacing w:after="20"/>
            </w:pPr>
            <w:r/>
            <w:r>
              <w:rPr>
                <w:sz w:val="16"/>
              </w:rPr>
              <w:t>product_id, store_id, date range</w:t>
            </w:r>
          </w:p>
        </w:tc>
        <w:tc>
          <w:tcPr>
            <w:tcW w:type="dxa" w:w="4176"/>
            <w:shd w:fill="F1F7F5"/>
            <w:vAlign w:val="center"/>
          </w:tcPr>
          <w:p>
            <w:pPr>
              <w:spacing w:after="20"/>
            </w:pPr>
            <w:r/>
            <w:r>
              <w:rPr>
                <w:sz w:val="16"/>
              </w:rPr>
              <w:t>Sales series and data-quality flags</w:t>
            </w:r>
          </w:p>
        </w:tc>
      </w:tr>
      <w:tr>
        <w:tc>
          <w:tcPr>
            <w:tcW w:type="dxa" w:w="2592"/>
            <w:vAlign w:val="center"/>
          </w:tcPr>
          <w:p>
            <w:pPr>
              <w:spacing w:after="20"/>
            </w:pPr>
            <w:r/>
            <w:r>
              <w:rPr>
                <w:sz w:val="16"/>
              </w:rPr>
              <w:t>run_demand_forecast</w:t>
            </w:r>
          </w:p>
        </w:tc>
        <w:tc>
          <w:tcPr>
            <w:tcW w:type="dxa" w:w="3168"/>
            <w:vAlign w:val="center"/>
          </w:tcPr>
          <w:p>
            <w:pPr>
              <w:spacing w:after="20"/>
            </w:pPr>
            <w:r/>
            <w:r>
              <w:rPr>
                <w:sz w:val="16"/>
              </w:rPr>
              <w:t>product/store, horizon</w:t>
            </w:r>
          </w:p>
        </w:tc>
        <w:tc>
          <w:tcPr>
            <w:tcW w:type="dxa" w:w="4176"/>
            <w:vAlign w:val="center"/>
          </w:tcPr>
          <w:p>
            <w:pPr>
              <w:spacing w:after="20"/>
            </w:pPr>
            <w:r/>
            <w:r>
              <w:rPr>
                <w:sz w:val="16"/>
              </w:rPr>
              <w:t>Forecast result and model metadata</w:t>
            </w:r>
          </w:p>
        </w:tc>
      </w:tr>
      <w:tr>
        <w:tc>
          <w:tcPr>
            <w:tcW w:type="dxa" w:w="2592"/>
            <w:shd w:fill="F1F7F5"/>
            <w:vAlign w:val="center"/>
          </w:tcPr>
          <w:p>
            <w:pPr>
              <w:spacing w:after="20"/>
            </w:pPr>
            <w:r/>
            <w:r>
              <w:rPr>
                <w:sz w:val="16"/>
              </w:rPr>
              <w:t>calculate_expiry_risk</w:t>
            </w:r>
          </w:p>
        </w:tc>
        <w:tc>
          <w:tcPr>
            <w:tcW w:type="dxa" w:w="3168"/>
            <w:shd w:fill="F1F7F5"/>
            <w:vAlign w:val="center"/>
          </w:tcPr>
          <w:p>
            <w:pPr>
              <w:spacing w:after="20"/>
            </w:pPr>
            <w:r/>
            <w:r>
              <w:rPr>
                <w:sz w:val="16"/>
              </w:rPr>
              <w:t>snapshot, forecast</w:t>
            </w:r>
          </w:p>
        </w:tc>
        <w:tc>
          <w:tcPr>
            <w:tcW w:type="dxa" w:w="4176"/>
            <w:shd w:fill="F1F7F5"/>
            <w:vAlign w:val="center"/>
          </w:tcPr>
          <w:p>
            <w:pPr>
              <w:spacing w:after="20"/>
            </w:pPr>
            <w:r/>
            <w:r>
              <w:rPr>
                <w:sz w:val="16"/>
              </w:rPr>
              <w:t>Risk level and estimated unsold quantity</w:t>
            </w:r>
          </w:p>
        </w:tc>
      </w:tr>
      <w:tr>
        <w:tc>
          <w:tcPr>
            <w:tcW w:type="dxa" w:w="2592"/>
            <w:vAlign w:val="center"/>
          </w:tcPr>
          <w:p>
            <w:pPr>
              <w:spacing w:after="20"/>
            </w:pPr>
            <w:r/>
            <w:r>
              <w:rPr>
                <w:sz w:val="16"/>
              </w:rPr>
              <w:t>get_store_demand</w:t>
            </w:r>
          </w:p>
        </w:tc>
        <w:tc>
          <w:tcPr>
            <w:tcW w:type="dxa" w:w="3168"/>
            <w:vAlign w:val="center"/>
          </w:tcPr>
          <w:p>
            <w:pPr>
              <w:spacing w:after="20"/>
            </w:pPr>
            <w:r/>
            <w:r>
              <w:rPr>
                <w:sz w:val="16"/>
              </w:rPr>
              <w:t>product_id, candidate store</w:t>
            </w:r>
          </w:p>
        </w:tc>
        <w:tc>
          <w:tcPr>
            <w:tcW w:type="dxa" w:w="4176"/>
            <w:vAlign w:val="center"/>
          </w:tcPr>
          <w:p>
            <w:pPr>
              <w:spacing w:after="20"/>
            </w:pPr>
            <w:r/>
            <w:r>
              <w:rPr>
                <w:sz w:val="16"/>
              </w:rPr>
              <w:t>Demand and stock at receiving store</w:t>
            </w:r>
          </w:p>
        </w:tc>
      </w:tr>
      <w:tr>
        <w:tc>
          <w:tcPr>
            <w:tcW w:type="dxa" w:w="2592"/>
            <w:shd w:fill="F1F7F5"/>
            <w:vAlign w:val="center"/>
          </w:tcPr>
          <w:p>
            <w:pPr>
              <w:spacing w:after="20"/>
            </w:pPr>
            <w:r/>
            <w:r>
              <w:rPr>
                <w:sz w:val="16"/>
              </w:rPr>
              <w:t>evaluate_action_cost</w:t>
            </w:r>
          </w:p>
        </w:tc>
        <w:tc>
          <w:tcPr>
            <w:tcW w:type="dxa" w:w="3168"/>
            <w:shd w:fill="F1F7F5"/>
            <w:vAlign w:val="center"/>
          </w:tcPr>
          <w:p>
            <w:pPr>
              <w:spacing w:after="20"/>
            </w:pPr>
            <w:r/>
            <w:r>
              <w:rPr>
                <w:sz w:val="16"/>
              </w:rPr>
              <w:t>action candidate, cost assumptions</w:t>
            </w:r>
          </w:p>
        </w:tc>
        <w:tc>
          <w:tcPr>
            <w:tcW w:type="dxa" w:w="4176"/>
            <w:shd w:fill="F1F7F5"/>
            <w:vAlign w:val="center"/>
          </w:tcPr>
          <w:p>
            <w:pPr>
              <w:spacing w:after="20"/>
            </w:pPr>
            <w:r/>
            <w:r>
              <w:rPr>
                <w:sz w:val="16"/>
              </w:rPr>
              <w:t>Estimated margin/cost trade-offs</w:t>
            </w:r>
          </w:p>
        </w:tc>
      </w:tr>
      <w:tr>
        <w:tc>
          <w:tcPr>
            <w:tcW w:type="dxa" w:w="2592"/>
            <w:vAlign w:val="center"/>
          </w:tcPr>
          <w:p>
            <w:pPr>
              <w:spacing w:after="20"/>
            </w:pPr>
            <w:r/>
            <w:r>
              <w:rPr>
                <w:sz w:val="16"/>
              </w:rPr>
              <w:t>save_agent_finding</w:t>
            </w:r>
          </w:p>
        </w:tc>
        <w:tc>
          <w:tcPr>
            <w:tcW w:type="dxa" w:w="3168"/>
            <w:vAlign w:val="center"/>
          </w:tcPr>
          <w:p>
            <w:pPr>
              <w:spacing w:after="20"/>
            </w:pPr>
            <w:r/>
            <w:r>
              <w:rPr>
                <w:sz w:val="16"/>
              </w:rPr>
              <w:t>structured result</w:t>
            </w:r>
          </w:p>
        </w:tc>
        <w:tc>
          <w:tcPr>
            <w:tcW w:type="dxa" w:w="4176"/>
            <w:vAlign w:val="center"/>
          </w:tcPr>
          <w:p>
            <w:pPr>
              <w:spacing w:after="20"/>
            </w:pPr>
            <w:r/>
            <w:r>
              <w:rPr>
                <w:sz w:val="16"/>
              </w:rPr>
              <w:t>Finding ID and audit reference</w:t>
            </w:r>
          </w:p>
        </w:tc>
      </w:tr>
      <w:tr>
        <w:tc>
          <w:tcPr>
            <w:tcW w:type="dxa" w:w="2592"/>
            <w:shd w:fill="F1F7F5"/>
            <w:vAlign w:val="center"/>
          </w:tcPr>
          <w:p>
            <w:pPr>
              <w:spacing w:after="20"/>
            </w:pPr>
            <w:r/>
            <w:r>
              <w:rPr>
                <w:sz w:val="16"/>
              </w:rPr>
              <w:t>save_recommendation</w:t>
            </w:r>
          </w:p>
        </w:tc>
        <w:tc>
          <w:tcPr>
            <w:tcW w:type="dxa" w:w="3168"/>
            <w:shd w:fill="F1F7F5"/>
            <w:vAlign w:val="center"/>
          </w:tcPr>
          <w:p>
            <w:pPr>
              <w:spacing w:after="20"/>
            </w:pPr>
            <w:r/>
            <w:r>
              <w:rPr>
                <w:sz w:val="16"/>
              </w:rPr>
              <w:t>validated recommendation</w:t>
            </w:r>
          </w:p>
        </w:tc>
        <w:tc>
          <w:tcPr>
            <w:tcW w:type="dxa" w:w="4176"/>
            <w:shd w:fill="F1F7F5"/>
            <w:vAlign w:val="center"/>
          </w:tcPr>
          <w:p>
            <w:pPr>
              <w:spacing w:after="20"/>
            </w:pPr>
            <w:r/>
            <w:r>
              <w:rPr>
                <w:sz w:val="16"/>
              </w:rPr>
              <w:t>Recommendation ID and status</w:t>
            </w:r>
          </w:p>
        </w:tc>
      </w:tr>
    </w:tbl>
    <w:p>
      <w:pPr>
        <w:spacing w:after="20"/>
      </w:pPr>
    </w:p>
    <w:p>
      <w:pPr>
        <w:pStyle w:val="Heading1"/>
      </w:pPr>
      <w:r>
        <w:t>8. Guardrails and Human Handoff</w:t>
      </w:r>
    </w:p>
    <w:p>
      <w:pPr>
        <w:pStyle w:val="ListBullet"/>
        <w:spacing w:after="40"/>
      </w:pPr>
      <w:r>
        <w:t>Agents do not invent stock, expiry or sales values.</w:t>
      </w:r>
    </w:p>
    <w:p>
      <w:pPr>
        <w:pStyle w:val="ListBullet"/>
        <w:spacing w:after="40"/>
      </w:pPr>
      <w:r>
        <w:t>Deterministic calculations and hard constraints are validated in ordinary code.</w:t>
      </w:r>
    </w:p>
    <w:p>
      <w:pPr>
        <w:pStyle w:val="ListBullet"/>
        <w:spacing w:after="40"/>
      </w:pPr>
      <w:r>
        <w:t>Agents do not directly place orders, change prices or transfer real stock.</w:t>
      </w:r>
    </w:p>
    <w:p>
      <w:pPr>
        <w:pStyle w:val="ListBullet"/>
        <w:spacing w:after="40"/>
      </w:pPr>
      <w:r>
        <w:t>Missing, stale or conflicting evidence triggers NEEDS_REVIEW.</w:t>
      </w:r>
    </w:p>
    <w:p>
      <w:pPr>
        <w:pStyle w:val="ListBullet"/>
        <w:spacing w:after="40"/>
      </w:pPr>
      <w:r>
        <w:t>A manager must approve, edit or reject the proposal.</w:t>
      </w:r>
    </w:p>
    <w:p>
      <w:pPr>
        <w:pStyle w:val="ListBullet"/>
        <w:spacing w:after="40"/>
      </w:pPr>
      <w:r>
        <w:t>Every agent step, input snapshot, output, recommendation and human outcome is logged.</w:t>
      </w:r>
    </w:p>
    <w:p>
      <w:pPr>
        <w:pStyle w:val="ListBullet"/>
        <w:spacing w:after="40"/>
      </w:pPr>
      <w:r>
        <w:t>LLM outage must not prevent a deterministic fallback recommendation where rules allow.</w:t>
      </w:r>
    </w:p>
    <w:p>
      <w:pPr>
        <w:pStyle w:val="Heading1"/>
      </w:pPr>
      <w:r>
        <w:t>9. Example Workflow</w:t>
      </w:r>
    </w:p>
    <w:p>
      <w:pPr>
        <w:pStyle w:val="ListNumber"/>
        <w:spacing w:after="40"/>
      </w:pPr>
      <w:r>
        <w:t>A data update shows 100 packets of milk, with an expiry cohort due tomorrow.</w:t>
      </w:r>
    </w:p>
    <w:p>
      <w:pPr>
        <w:pStyle w:val="ListNumber"/>
        <w:spacing w:after="40"/>
      </w:pPr>
      <w:r>
        <w:t>Demand Agent forecasts 40 packets of sales before that expiry, with forecast uncertainty shown.</w:t>
      </w:r>
    </w:p>
    <w:p>
      <w:pPr>
        <w:pStyle w:val="ListNumber"/>
        <w:spacing w:after="40"/>
      </w:pPr>
      <w:r>
        <w:t>Freshness Agent flags potential excess in the expiry cohort.</w:t>
      </w:r>
    </w:p>
    <w:p>
      <w:pPr>
        <w:pStyle w:val="ListNumber"/>
        <w:spacing w:after="40"/>
      </w:pPr>
      <w:r>
        <w:t>Markdown/Transfer Agent compares eligible discounts with feasible transfers.</w:t>
      </w:r>
    </w:p>
    <w:p>
      <w:pPr>
        <w:pStyle w:val="ListNumber"/>
        <w:spacing w:after="40"/>
      </w:pPr>
      <w:r>
        <w:t>Coordinator rejects infeasible options and selects the best remaining option under configured cost assumptions.</w:t>
      </w:r>
    </w:p>
    <w:p>
      <w:pPr>
        <w:pStyle w:val="ListNumber"/>
        <w:spacing w:after="40"/>
      </w:pPr>
      <w:r>
        <w:t>Dashboard shows evidence and a recommendation; manager approves, edits or rejects it.</w:t>
      </w:r>
    </w:p>
    <w:p>
      <w:pPr>
        <w:pStyle w:val="ListNumber"/>
        <w:spacing w:after="40"/>
      </w:pPr>
      <w:r>
        <w:t>The decision and later simulated outcome are saved for evaluation.</w:t>
      </w:r>
    </w:p>
    <w:p>
      <w:pPr>
        <w:pStyle w:val="Heading1"/>
      </w:pPr>
      <w:r>
        <w:t>10. Definition of Done</w:t>
      </w:r>
    </w:p>
    <w:p>
      <w:pPr>
        <w:pStyle w:val="ListBullet"/>
        <w:spacing w:after="40"/>
      </w:pPr>
      <w:r>
        <w:t>At least three specialist analysis capabilities run on a shared product/store context.</w:t>
      </w:r>
    </w:p>
    <w:p>
      <w:pPr>
        <w:pStyle w:val="ListBullet"/>
        <w:spacing w:after="40"/>
      </w:pPr>
      <w:r>
        <w:t>Each capability returns structured, persisted evidence.</w:t>
      </w:r>
    </w:p>
    <w:p>
      <w:pPr>
        <w:pStyle w:val="ListBullet"/>
        <w:spacing w:after="40"/>
      </w:pPr>
      <w:r>
        <w:t>Coordinator rejects an action that violates a hard constraint.</w:t>
      </w:r>
    </w:p>
    <w:p>
      <w:pPr>
        <w:pStyle w:val="ListBullet"/>
        <w:spacing w:after="40"/>
      </w:pPr>
      <w:r>
        <w:t>Recommendation includes rationale, trade-offs and confidence.</w:t>
      </w:r>
    </w:p>
    <w:p>
      <w:pPr>
        <w:pStyle w:val="ListBullet"/>
        <w:spacing w:after="40"/>
      </w:pPr>
      <w:r>
        <w:t>Manager can override the recommendation.</w:t>
      </w:r>
    </w:p>
    <w:p>
      <w:pPr>
        <w:pStyle w:val="ListBullet"/>
        <w:spacing w:after="40"/>
      </w:pPr>
      <w:r>
        <w:t>A full agent timeline and fallback path are demonstrable.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FreshGuard AI Technical Documentation • Hackathon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47869"/>
        <w:sz w:val="16"/>
      </w:rPr>
      <w:t>FRESHGUARD AI  |  06 • AGENTS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4534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786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478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453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