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highlight w:val="yellow"/>
          <w:u w:val="single"/>
        </w:rPr>
      </w:pPr>
      <w:r w:rsidDel="00000000" w:rsidR="00000000" w:rsidRPr="00000000">
        <w:rPr>
          <w:b w:val="1"/>
          <w:sz w:val="18"/>
          <w:szCs w:val="18"/>
          <w:highlight w:val="yellow"/>
          <w:u w:val="single"/>
          <w:rtl w:val="0"/>
        </w:rPr>
        <w:t xml:space="preserve">MAKE A COPY OF THIS FILE AND MAKE SURE TO CHANGE THE SHARING SETTINGS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114300</wp:posOffset>
            </wp:positionV>
            <wp:extent cx="1976438" cy="51196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511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1 - Responsive issue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viewed on mobile devices📱, some elements on my funnel pages are misaligned or overlap, making the pages difficult to navigate.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Poor mobile responsiveness can lead to a frustrating user experience and high bounce rates, especially among mobile users.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would you use responsive design👨‍💻 techniques using CSS to ensure that all elements are properly aligned and spaced on various screen sizes, providing a seamless mobile experience?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2 - Technical question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are the steps for configuring global-level funnel colors in GoHighLevel?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3 - Facebook CAPI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What are the steps for configuring Facebook Conversion API (tracking) within GoHighLevel, and what are the available trigger points for sending data to the Facebook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4 - Responsive issue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my funnel page, there is a Call to Action (CTA) button. However, I aim to implement distinct styles for the mobile 📲 and desktop 🖥️ versions.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you provide at least two approaches to achieve this customized design?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Exercice 5 -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have several high-priority tasks for different clients already on their plate for the day.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Additionally, you receive an urgent request from your agency's CEO/Manager who needs last-minute Design, tracking, automation, and set-up products for a sales funnel that is just a few hours ⌛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provide a solution for managing this situation and addressing all tasks effectively. How will you prioritize the tasks?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6 - Tutorial Creation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Send us a step-by-step loom explaining how to connect a domain name to a GoHighLevel funnel and send us the link here: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