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440" w:after="100" w:line="300" w:lineRule="auto"/>
        <w:jc w:val="center"/>
      </w:pPr>
      <w:r>
        <w:rPr>
          <w:rFonts w:ascii="Arial" w:hAnsi="Arial"/>
          <w:b/>
          <w:color w:val="007B83"/>
          <w:sz w:val="22"/>
        </w:rPr>
        <w:t>AMN QUALITY</w:t>
      </w:r>
    </w:p>
    <w:p>
      <w:pPr>
        <w:keepNext w:val="0"/>
        <w:spacing w:before="0" w:after="160" w:line="300" w:lineRule="auto"/>
        <w:jc w:val="center"/>
      </w:pPr>
      <w:r>
        <w:rPr>
          <w:rFonts w:ascii="Arial" w:hAnsi="Arial"/>
          <w:b/>
          <w:color w:val="123047"/>
          <w:sz w:val="60"/>
        </w:rPr>
        <w:t>AMN Trace</w:t>
      </w:r>
    </w:p>
    <w:p>
      <w:pPr>
        <w:keepNext w:val="0"/>
        <w:spacing w:before="0" w:after="480" w:line="276" w:lineRule="auto"/>
        <w:jc w:val="center"/>
      </w:pPr>
      <w:r>
        <w:rPr>
          <w:rFonts w:ascii="Arial" w:hAnsi="Arial"/>
          <w:color w:val="1E2933"/>
          <w:sz w:val="30"/>
        </w:rPr>
        <w:t>Propuesta de implementación y MVP</w:t>
      </w:r>
      <w:r>
        <w:rPr>
          <w:rFonts w:ascii="Arial" w:hAnsi="Arial"/>
          <w:color w:val="5E6B75"/>
          <w:sz w:val="24"/>
        </w:rPr>
        <w:br/>
        <w:t>Plataforma de evidencia y trazabilidad de inspección</w:t>
      </w:r>
    </w:p>
    <w:p>
      <w:pPr>
        <w:keepNext w:val="0"/>
        <w:spacing w:before="0" w:after="280" w:line="300" w:lineRule="auto"/>
        <w:pBdr>
          <w:bottom w:val="single" w:sz="16" w:space="1" w:color="007B83"/>
        </w:pBdr>
      </w:pP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100" w:type="dxa"/>
              <w:start w:w="120" w:type="dxa"/>
              <w:bottom w:w="100" w:type="dxa"/>
              <w:end w:w="120" w:type="dxa"/>
            </w:tcMar>
            <w:vAlign w:val="center"/>
            <w:shd w:fill="F5F8FA"/>
            <w:tcBorders>
              <w:top w:val="single" w:sz="2" w:color="D7E0E5"/>
              <w:left w:val="single" w:sz="2" w:color="D7E0E5"/>
              <w:bottom w:val="single" w:sz="2" w:color="D7E0E5"/>
              <w:right w:val="single" w:sz="2" w:color="D7E0E5"/>
            </w:tcBorders>
          </w:tcPr>
          <w:p>
            <w:pPr>
              <w:keepNext w:val="0"/>
              <w:spacing w:before="0" w:after="40" w:line="264" w:lineRule="auto"/>
            </w:pPr>
            <w:r>
              <w:rPr>
                <w:rFonts w:ascii="Arial" w:hAnsi="Arial"/>
                <w:b/>
                <w:color w:val="5E6B75"/>
                <w:sz w:val="17"/>
              </w:rPr>
              <w:t>Preparado para</w:t>
              <w:br/>
            </w:r>
            <w:r>
              <w:rPr>
                <w:rFonts w:ascii="Arial" w:hAnsi="Arial"/>
                <w:color w:val="1E2933"/>
                <w:sz w:val="20"/>
              </w:rPr>
              <w:t>AMN Quality</w:t>
            </w:r>
          </w:p>
        </w:tc>
        <w:tc>
          <w:tcPr>
            <w:tcW w:type="dxa" w:w="4680"/>
            <w:tcMar>
              <w:top w:w="100" w:type="dxa"/>
              <w:start w:w="120" w:type="dxa"/>
              <w:bottom w:w="100" w:type="dxa"/>
              <w:end w:w="120" w:type="dxa"/>
            </w:tcMar>
            <w:vAlign w:val="center"/>
            <w:shd w:fill="F5F8FA"/>
            <w:tcBorders>
              <w:top w:val="single" w:sz="2" w:color="D7E0E5"/>
              <w:left w:val="single" w:sz="2" w:color="D7E0E5"/>
              <w:bottom w:val="single" w:sz="2" w:color="D7E0E5"/>
              <w:right w:val="single" w:sz="2" w:color="D7E0E5"/>
            </w:tcBorders>
          </w:tcPr>
          <w:p>
            <w:pPr>
              <w:keepNext w:val="0"/>
              <w:spacing w:before="0" w:after="40" w:line="264" w:lineRule="auto"/>
            </w:pPr>
            <w:r>
              <w:rPr>
                <w:rFonts w:ascii="Arial" w:hAnsi="Arial"/>
                <w:b/>
                <w:color w:val="5E6B75"/>
                <w:sz w:val="17"/>
              </w:rPr>
              <w:t>Objetivo</w:t>
              <w:br/>
            </w:r>
            <w:r>
              <w:rPr>
                <w:rFonts w:ascii="Arial" w:hAnsi="Arial"/>
                <w:color w:val="1E2933"/>
                <w:sz w:val="20"/>
              </w:rPr>
              <w:t>MVP demostrable para trazabilidad de todas las piezas</w:t>
            </w:r>
          </w:p>
        </w:tc>
      </w:tr>
      <w:tr>
        <w:tc>
          <w:tcPr>
            <w:tcW w:type="dxa" w:w="4680"/>
            <w:tcMar>
              <w:top w:w="100" w:type="dxa"/>
              <w:start w:w="120" w:type="dxa"/>
              <w:bottom w:w="100" w:type="dxa"/>
              <w:end w:w="120" w:type="dxa"/>
            </w:tcMar>
            <w:vAlign w:val="center"/>
            <w:shd w:fill="F5F8FA"/>
            <w:tcBorders>
              <w:top w:val="single" w:sz="2" w:color="D7E0E5"/>
              <w:left w:val="single" w:sz="2" w:color="D7E0E5"/>
              <w:bottom w:val="single" w:sz="2" w:color="D7E0E5"/>
              <w:right w:val="single" w:sz="2" w:color="D7E0E5"/>
            </w:tcBorders>
          </w:tcPr>
          <w:p>
            <w:pPr>
              <w:keepNext w:val="0"/>
              <w:spacing w:before="0" w:after="40" w:line="264" w:lineRule="auto"/>
            </w:pPr>
            <w:r>
              <w:rPr>
                <w:rFonts w:ascii="Arial" w:hAnsi="Arial"/>
                <w:b/>
                <w:color w:val="5E6B75"/>
                <w:sz w:val="17"/>
              </w:rPr>
              <w:t>Horizonte de retención</w:t>
              <w:br/>
            </w:r>
            <w:r>
              <w:rPr>
                <w:rFonts w:ascii="Arial" w:hAnsi="Arial"/>
                <w:color w:val="1E2933"/>
                <w:sz w:val="20"/>
              </w:rPr>
              <w:t>Mínimo 5 años</w:t>
            </w:r>
          </w:p>
        </w:tc>
        <w:tc>
          <w:tcPr>
            <w:tcW w:type="dxa" w:w="4680"/>
            <w:tcMar>
              <w:top w:w="100" w:type="dxa"/>
              <w:start w:w="120" w:type="dxa"/>
              <w:bottom w:w="100" w:type="dxa"/>
              <w:end w:w="120" w:type="dxa"/>
            </w:tcMar>
            <w:vAlign w:val="center"/>
            <w:shd w:fill="F5F8FA"/>
            <w:tcBorders>
              <w:top w:val="single" w:sz="2" w:color="D7E0E5"/>
              <w:left w:val="single" w:sz="2" w:color="D7E0E5"/>
              <w:bottom w:val="single" w:sz="2" w:color="D7E0E5"/>
              <w:right w:val="single" w:sz="2" w:color="D7E0E5"/>
            </w:tcBorders>
          </w:tcPr>
          <w:p>
            <w:pPr>
              <w:keepNext w:val="0"/>
              <w:spacing w:before="0" w:after="40" w:line="264" w:lineRule="auto"/>
            </w:pPr>
            <w:r>
              <w:rPr>
                <w:rFonts w:ascii="Arial" w:hAnsi="Arial"/>
                <w:b/>
                <w:color w:val="5E6B75"/>
                <w:sz w:val="17"/>
              </w:rPr>
              <w:t>Fecha</w:t>
              <w:br/>
            </w:r>
            <w:r>
              <w:rPr>
                <w:rFonts w:ascii="Arial" w:hAnsi="Arial"/>
                <w:color w:val="1E2933"/>
                <w:sz w:val="20"/>
              </w:rPr>
              <w:t>3 de septiembre de 2026</w:t>
            </w:r>
          </w:p>
        </w:tc>
      </w:tr>
    </w:tbl>
    <w:p>
      <w:pPr>
        <w:keepNext w:val="0"/>
        <w:spacing w:before="800" w:after="0" w:line="300" w:lineRule="auto"/>
        <w:jc w:val="center"/>
      </w:pPr>
      <w:r>
        <w:rPr>
          <w:rFonts w:ascii="Arial" w:hAnsi="Arial"/>
          <w:i/>
          <w:color w:val="5E6B75"/>
          <w:sz w:val="19"/>
        </w:rPr>
        <w:t>Documento de trabajo - propuesta inicial</w:t>
      </w:r>
    </w:p>
    <w:p>
      <w:r>
        <w:br w:type="page"/>
      </w:r>
    </w:p>
    <w:p>
      <w:pPr>
        <w:pStyle w:val="Heading1"/>
        <w:keepNext/>
        <w:spacing w:before="360" w:after="160" w:line="264" w:lineRule="auto"/>
      </w:pPr>
      <w:r>
        <w:rPr>
          <w:rFonts w:ascii="Arial" w:hAnsi="Arial"/>
          <w:b/>
          <w:color w:val="123047"/>
          <w:sz w:val="32"/>
        </w:rPr>
        <w:t>1. Resumen ejecutivo</w:t>
      </w:r>
    </w:p>
    <w:p>
      <w:pPr>
        <w:pStyle w:val="Body"/>
        <w:keepNext w:val="0"/>
        <w:spacing w:before="0" w:after="160" w:line="307" w:lineRule="auto"/>
      </w:pPr>
      <w:r>
        <w:rPr>
          <w:rFonts w:ascii="Arial" w:hAnsi="Arial"/>
          <w:color w:val="1E2933"/>
          <w:sz w:val="21"/>
        </w:rPr>
        <w:t>AMN Trace es una propuesta para convertir cada inspección visual de AMN Quality en un expediente digital confiable. El sistema asociará la pieza, sus imágenes originales, el resultado de la inspección y el contexto de producción en un registro consultable durante al menos cinco años.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AF5F5"/>
            <w:tcBorders>
              <w:top w:val="single" w:sz="8" w:color="007B83"/>
              <w:left w:val="single" w:sz="8" w:color="007B83"/>
              <w:bottom w:val="single" w:sz="8" w:color="007B83"/>
              <w:right w:val="single" w:sz="8" w:color="007B83"/>
            </w:tcBorders>
          </w:tcPr>
          <w:p>
            <w:pPr>
              <w:keepNext w:val="0"/>
              <w:spacing w:before="0" w:after="0" w:line="276" w:lineRule="auto"/>
            </w:pPr>
            <w:r>
              <w:rPr>
                <w:rFonts w:ascii="Arial" w:hAnsi="Arial"/>
                <w:b/>
                <w:color w:val="123047"/>
                <w:sz w:val="20"/>
              </w:rPr>
              <w:t xml:space="preserve">Resultado esperado. </w:t>
            </w:r>
            <w:r>
              <w:rPr>
                <w:rFonts w:ascii="Arial" w:hAnsi="Arial"/>
                <w:color w:val="1E2933"/>
                <w:sz w:val="20"/>
              </w:rPr>
              <w:t>Ante una reclamación o investigación, AMN Quality podrá localizar una pieza por número de serie, lote, orden o fecha y reconstruir en segundos qué ocurrió: dónde se produjo, quién participó, qué máquina la inspeccionó, qué resultado obtuvo y cuál fue la evidencia visual.</w:t>
            </w:r>
          </w:p>
        </w:tc>
      </w:tr>
    </w:tbl>
    <w:p>
      <w:pPr>
        <w:spacing w:after="20"/>
      </w:pPr>
    </w:p>
    <w:p>
      <w:pPr>
        <w:pStyle w:val="Heading2"/>
        <w:keepNext/>
        <w:spacing w:before="240" w:after="100" w:line="264" w:lineRule="auto"/>
      </w:pPr>
      <w:r>
        <w:rPr>
          <w:rFonts w:ascii="Arial" w:hAnsi="Arial"/>
          <w:b/>
          <w:color w:val="007B83"/>
          <w:sz w:val="24"/>
        </w:rPr>
        <w:t>Problema que resuelve</w:t>
      </w:r>
    </w:p>
    <w:p>
      <w:pPr>
        <w:pStyle w:val="ListBullet"/>
        <w:keepNext w:val="0"/>
        <w:spacing w:before="0" w:after="60" w:line="288" w:lineRule="auto"/>
        <w:ind w:left="360" w:hanging="259"/>
      </w:pPr>
      <w:r>
        <w:rPr>
          <w:rFonts w:ascii="Arial" w:hAnsi="Arial"/>
          <w:color w:val="1E2933"/>
          <w:sz w:val="20"/>
        </w:rPr>
        <w:t>La evidencia de inspección suele quedar dispersa en carpetas, equipos o archivos que no garantizan la relación con una pieza específica.</w:t>
      </w:r>
    </w:p>
    <w:p>
      <w:pPr>
        <w:pStyle w:val="ListBullet"/>
        <w:keepNext w:val="0"/>
        <w:spacing w:before="0" w:after="60" w:line="288" w:lineRule="auto"/>
        <w:ind w:left="360" w:hanging="259"/>
      </w:pPr>
      <w:r>
        <w:rPr>
          <w:rFonts w:ascii="Arial" w:hAnsi="Arial"/>
          <w:color w:val="1E2933"/>
          <w:sz w:val="20"/>
        </w:rPr>
        <w:t>Una falla de red o internet no debe detener la captura de evidencia ni permitir que se pierdan inspecciones.</w:t>
      </w:r>
    </w:p>
    <w:p>
      <w:pPr>
        <w:pStyle w:val="ListBullet"/>
        <w:keepNext w:val="0"/>
        <w:spacing w:before="0" w:after="60" w:line="288" w:lineRule="auto"/>
        <w:ind w:left="360" w:hanging="259"/>
      </w:pPr>
      <w:r>
        <w:rPr>
          <w:rFonts w:ascii="Arial" w:hAnsi="Arial"/>
          <w:color w:val="1E2933"/>
          <w:sz w:val="20"/>
        </w:rPr>
        <w:t>La evidencia debe permanecer protegida: no se sustituye ni se borra; cualquier corrección se registra como un evento posterior con usuario, fecha y motivo.</w:t>
      </w:r>
    </w:p>
    <w:p>
      <w:pPr>
        <w:pStyle w:val="ListBullet"/>
        <w:keepNext w:val="0"/>
        <w:spacing w:before="0" w:after="60" w:line="288" w:lineRule="auto"/>
        <w:ind w:left="360" w:hanging="259"/>
      </w:pPr>
      <w:r>
        <w:rPr>
          <w:rFonts w:ascii="Arial" w:hAnsi="Arial"/>
          <w:color w:val="1E2933"/>
          <w:sz w:val="20"/>
        </w:rPr>
        <w:t>Todas las piezas, incluyendo las aceptadas (OK), deben mantener trazabilidad completa a largo plazo.</w:t>
      </w:r>
    </w:p>
    <w:p>
      <w:pPr>
        <w:pStyle w:val="Heading2"/>
        <w:keepNext/>
        <w:spacing w:before="240" w:after="100" w:line="264" w:lineRule="auto"/>
      </w:pPr>
      <w:r>
        <w:rPr>
          <w:rFonts w:ascii="Arial" w:hAnsi="Arial"/>
          <w:b/>
          <w:color w:val="007B83"/>
          <w:sz w:val="24"/>
        </w:rPr>
        <w:t>Alcance de esta propuesta</w:t>
      </w:r>
    </w:p>
    <w:p>
      <w:pPr>
        <w:pStyle w:val="Body"/>
        <w:keepNext w:val="0"/>
        <w:spacing w:before="0" w:after="160" w:line="307" w:lineRule="auto"/>
      </w:pPr>
      <w:r>
        <w:rPr>
          <w:rFonts w:ascii="Arial" w:hAnsi="Arial"/>
          <w:color w:val="1E2933"/>
          <w:sz w:val="21"/>
        </w:rPr>
        <w:t>El documento define una arquitectura objetivo y un MVP presentable. El MVP valida el flujo crítico: identificar pieza, capturar/recibir evidencia, operar sin internet, sincronizar de forma segura y consultar el expediente desde un portal web.</w:t>
      </w:r>
    </w:p>
    <w:p>
      <w:pPr>
        <w:pStyle w:val="Heading1"/>
        <w:keepNext/>
        <w:spacing w:before="360" w:after="160" w:line="264" w:lineRule="auto"/>
      </w:pPr>
      <w:r>
        <w:rPr>
          <w:rFonts w:ascii="Arial" w:hAnsi="Arial"/>
          <w:b/>
          <w:color w:val="123047"/>
          <w:sz w:val="32"/>
        </w:rPr>
        <w:t>2. Requisitos de negocio y diseño</w:t>
      </w:r>
    </w:p>
    <w:tbl>
      <w:tblPr>
        <w:tblW w:type="dxa" w:w="9360"/>
        <w:jc w:val="left"/>
        <w:tblLayout w:type="fixed"/>
        <w:tblLook w:firstColumn="1" w:firstRow="1" w:lastColumn="0" w:lastRow="0" w:noHBand="0" w:noVBand="1" w:val="04A0"/>
        <w:tblInd w:w="120" w:type="dxa"/>
      </w:tblPr>
      <w:tblGrid>
        <w:gridCol w:w="2250"/>
        <w:gridCol w:w="7110"/>
      </w:tblGrid>
      <w:tr>
        <w:trPr>
          <w:tblHeader w:val="true"/>
        </w:trPr>
        <w:tc>
          <w:tcPr>
            <w:tcW w:type="dxa" w:w="225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Dimensión</w:t>
            </w:r>
          </w:p>
        </w:tc>
        <w:tc>
          <w:tcPr>
            <w:tcW w:type="dxa" w:w="711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Requisito</w:t>
            </w:r>
          </w:p>
        </w:tc>
      </w:tr>
      <w:tr>
        <w:tc>
          <w:tcPr>
            <w:tcW w:type="dxa" w:w="225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Cobertura</w:t>
            </w:r>
          </w:p>
        </w:tc>
        <w:tc>
          <w:tcPr>
            <w:tcW w:type="dxa" w:w="711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Registrar el 100% de las piezas inspeccionadas: OK, NOK, retrabajo y revisión.</w:t>
            </w:r>
          </w:p>
        </w:tc>
      </w:tr>
      <w:tr>
        <w:tc>
          <w:tcPr>
            <w:tcW w:type="dxa" w:w="225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Retención</w:t>
            </w:r>
          </w:p>
        </w:tc>
        <w:tc>
          <w:tcPr>
            <w:tcW w:type="dxa" w:w="711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Conservar expediente y evidencia por al menos cinco años, sujeto a la política final de AMN Quality y sus clientes.</w:t>
            </w:r>
          </w:p>
        </w:tc>
      </w:tr>
      <w:tr>
        <w:tc>
          <w:tcPr>
            <w:tcW w:type="dxa" w:w="225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Continuidad</w:t>
            </w:r>
          </w:p>
        </w:tc>
        <w:tc>
          <w:tcPr>
            <w:tcW w:type="dxa" w:w="711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La estación debe continuar capturando y protegiendo evidencia aunque se interrumpa la red o internet.</w:t>
            </w:r>
          </w:p>
        </w:tc>
      </w:tr>
      <w:tr>
        <w:tc>
          <w:tcPr>
            <w:tcW w:type="dxa" w:w="225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Inmutabilidad</w:t>
            </w:r>
          </w:p>
        </w:tc>
        <w:tc>
          <w:tcPr>
            <w:tcW w:type="dxa" w:w="711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Imágenes originales y eventos de inspección no se sobrescriben. Se conserva el historial de cambios y acciones.</w:t>
            </w:r>
          </w:p>
        </w:tc>
      </w:tr>
      <w:tr>
        <w:tc>
          <w:tcPr>
            <w:tcW w:type="dxa" w:w="225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Consulta</w:t>
            </w:r>
          </w:p>
        </w:tc>
        <w:tc>
          <w:tcPr>
            <w:tcW w:type="dxa" w:w="711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Búsqueda por número de parte, serie/DataMatrix, lote, orden, fecha, resultado, línea o estación.</w:t>
            </w:r>
          </w:p>
        </w:tc>
      </w:tr>
      <w:tr>
        <w:tc>
          <w:tcPr>
            <w:tcW w:type="dxa" w:w="225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Arquitectura</w:t>
            </w:r>
          </w:p>
        </w:tc>
        <w:tc>
          <w:tcPr>
            <w:tcW w:type="dxa" w:w="711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Copia local operativa y repositorio central en nube, con sincronización verificable.</w:t>
            </w:r>
          </w:p>
        </w:tc>
      </w:tr>
      <w:tr>
        <w:tc>
          <w:tcPr>
            <w:tcW w:type="dxa" w:w="225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Seguridad</w:t>
            </w:r>
          </w:p>
        </w:tc>
        <w:tc>
          <w:tcPr>
            <w:tcW w:type="dxa" w:w="711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Usuarios autenticados, roles, cifrado, bitácora de auditoría y control de acceso por función.</w:t>
            </w:r>
          </w:p>
        </w:tc>
      </w:tr>
    </w:tbl>
    <w:p>
      <w:pPr>
        <w:spacing w:after="20"/>
      </w:pPr>
    </w:p>
    <w:p>
      <w:pPr>
        <w:pStyle w:val="Heading2"/>
        <w:keepNext/>
        <w:spacing w:before="240" w:after="100" w:line="264" w:lineRule="auto"/>
      </w:pPr>
      <w:r>
        <w:rPr>
          <w:rFonts w:ascii="Arial" w:hAnsi="Arial"/>
          <w:b/>
          <w:color w:val="007B83"/>
          <w:sz w:val="24"/>
        </w:rPr>
        <w:t>Principios de diseño</w:t>
      </w:r>
    </w:p>
    <w:p>
      <w:pPr>
        <w:pStyle w:val="ListBullet"/>
        <w:keepNext w:val="0"/>
        <w:spacing w:before="0" w:after="60" w:line="288" w:lineRule="auto"/>
        <w:ind w:left="360" w:hanging="259"/>
      </w:pPr>
      <w:r>
        <w:rPr>
          <w:rFonts w:ascii="Arial" w:hAnsi="Arial"/>
          <w:color w:val="1E2933"/>
          <w:sz w:val="20"/>
        </w:rPr>
        <w:t>La evidencia original se preserva; los análisis, anotaciones y decisiones se agregan como nuevas capas o eventos.</w:t>
      </w:r>
    </w:p>
    <w:p>
      <w:pPr>
        <w:pStyle w:val="ListBullet"/>
        <w:keepNext w:val="0"/>
        <w:spacing w:before="0" w:after="60" w:line="288" w:lineRule="auto"/>
        <w:ind w:left="360" w:hanging="259"/>
      </w:pPr>
      <w:r>
        <w:rPr>
          <w:rFonts w:ascii="Arial" w:hAnsi="Arial"/>
          <w:color w:val="1E2933"/>
          <w:sz w:val="20"/>
        </w:rPr>
        <w:t>El identificador de pieza es la llave del expediente; el nombre de archivo sólo facilita su lectura humana.</w:t>
      </w:r>
    </w:p>
    <w:p>
      <w:pPr>
        <w:pStyle w:val="ListBullet"/>
        <w:keepNext w:val="0"/>
        <w:spacing w:before="0" w:after="60" w:line="288" w:lineRule="auto"/>
        <w:ind w:left="360" w:hanging="259"/>
      </w:pPr>
      <w:r>
        <w:rPr>
          <w:rFonts w:ascii="Arial" w:hAnsi="Arial"/>
          <w:color w:val="1E2933"/>
          <w:sz w:val="20"/>
        </w:rPr>
        <w:t>La nube centraliza la consulta y el respaldo; el edge local mantiene la producción en marcha.</w:t>
      </w:r>
    </w:p>
    <w:p>
      <w:pPr>
        <w:pStyle w:val="ListBullet"/>
        <w:keepNext w:val="0"/>
        <w:spacing w:before="0" w:after="60" w:line="288" w:lineRule="auto"/>
        <w:ind w:left="360" w:hanging="259"/>
      </w:pPr>
      <w:r>
        <w:rPr>
          <w:rFonts w:ascii="Arial" w:hAnsi="Arial"/>
          <w:color w:val="1E2933"/>
          <w:sz w:val="20"/>
        </w:rPr>
        <w:t>La trazabilidad debe ser verificable, no únicamente visible: integridad, historial y reconciliación son parte del producto.</w:t>
      </w:r>
    </w:p>
    <w:p>
      <w:pPr>
        <w:pStyle w:val="Heading1"/>
        <w:keepNext/>
        <w:spacing w:before="360" w:after="160" w:line="264" w:lineRule="auto"/>
      </w:pPr>
      <w:r>
        <w:rPr>
          <w:rFonts w:ascii="Arial" w:hAnsi="Arial"/>
          <w:b/>
          <w:color w:val="123047"/>
          <w:sz w:val="32"/>
        </w:rPr>
        <w:t>3. Arquitectura propuesta</w:t>
      </w:r>
    </w:p>
    <w:p>
      <w:pPr>
        <w:pStyle w:val="Body"/>
        <w:keepNext w:val="0"/>
        <w:spacing w:before="0" w:after="160" w:line="307" w:lineRule="auto"/>
      </w:pPr>
      <w:r>
        <w:rPr>
          <w:rFonts w:ascii="Arial" w:hAnsi="Arial"/>
          <w:color w:val="1E2933"/>
          <w:sz w:val="21"/>
        </w:rPr>
        <w:t>La solución se divide en cuatro capas para separar la operación de planta, la evidencia, la consulta y el resguardo a largo plazo.</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Capa</w:t>
            </w:r>
          </w:p>
        </w:tc>
        <w:tc>
          <w:tcPr>
            <w:tcW w:type="dxa" w:w="716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Responsabilidad</w:t>
            </w:r>
          </w:p>
        </w:tc>
      </w:tr>
      <w:tr>
        <w:tc>
          <w:tcPr>
            <w:tcW w:type="dxa" w:w="22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1. Identificación</w:t>
            </w:r>
          </w:p>
        </w:tc>
        <w:tc>
          <w:tcPr>
            <w:tcW w:type="dxa" w:w="71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Lector de código de barras, QR o DataMatrix; o integración con el identificador que ya emita el proceso.</w:t>
            </w:r>
          </w:p>
        </w:tc>
      </w:tr>
      <w:tr>
        <w:tc>
          <w:tcPr>
            <w:tcW w:type="dxa" w:w="22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2. Edge en planta</w:t>
            </w:r>
          </w:p>
        </w:tc>
        <w:tc>
          <w:tcPr>
            <w:tcW w:type="dxa" w:w="71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PC industrial o servidor local que recibe imágenes y resultados de la máquina, valida datos, crea el expediente, conserva una cola offline y sincroniza después.</w:t>
            </w:r>
          </w:p>
        </w:tc>
      </w:tr>
      <w:tr>
        <w:tc>
          <w:tcPr>
            <w:tcW w:type="dxa" w:w="22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3. Plataforma central</w:t>
            </w:r>
          </w:p>
        </w:tc>
        <w:tc>
          <w:tcPr>
            <w:tcW w:type="dxa" w:w="71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API y base de datos para metadatos, usuarios, auditoría, búsquedas y reglas de negocio.</w:t>
            </w:r>
          </w:p>
        </w:tc>
      </w:tr>
      <w:tr>
        <w:tc>
          <w:tcPr>
            <w:tcW w:type="dxa" w:w="22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4. Evidencia en nube</w:t>
            </w:r>
          </w:p>
        </w:tc>
        <w:tc>
          <w:tcPr>
            <w:tcW w:type="dxa" w:w="71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Almacenamiento cifrado e inmutable para originales, imágenes anotadas y archivos asociados; acceso desde portal web.</w:t>
            </w:r>
          </w:p>
        </w:tc>
      </w:tr>
    </w:tbl>
    <w:p>
      <w:pPr>
        <w:spacing w:after="20"/>
      </w:pPr>
    </w:p>
    <w:p>
      <w:pPr>
        <w:pStyle w:val="Heading2"/>
        <w:keepNext/>
        <w:spacing w:before="240" w:after="100" w:line="264" w:lineRule="auto"/>
      </w:pPr>
      <w:r>
        <w:rPr>
          <w:rFonts w:ascii="Arial" w:hAnsi="Arial"/>
          <w:b/>
          <w:color w:val="007B83"/>
          <w:sz w:val="24"/>
        </w:rPr>
        <w:t>Flujo de información</w:t>
      </w:r>
    </w:p>
    <w:tbl>
      <w:tblPr>
        <w:tblW w:type="dxa" w:w="9360"/>
        <w:jc w:val="left"/>
        <w:tblLayout w:type="fixed"/>
        <w:tblLook w:firstColumn="1" w:firstRow="1" w:lastColumn="0" w:lastRow="0" w:noHBand="0" w:noVBand="1" w:val="04A0"/>
        <w:tblInd w:w="120" w:type="dxa"/>
      </w:tblPr>
      <w:tblGrid>
        <w:gridCol w:w="1800"/>
        <w:gridCol w:w="1800"/>
        <w:gridCol w:w="1800"/>
        <w:gridCol w:w="1800"/>
        <w:gridCol w:w="2160"/>
      </w:tblGrid>
      <w:tr>
        <w:trPr>
          <w:tblHeader w:val="true"/>
        </w:trPr>
        <w:tc>
          <w:tcPr>
            <w:tcW w:type="dxa" w:w="1800"/>
            <w:tcMar>
              <w:top w:w="100" w:type="dxa"/>
              <w:start w:w="120" w:type="dxa"/>
              <w:bottom w:w="100" w:type="dxa"/>
              <w:end w:w="120" w:type="dxa"/>
            </w:tcMar>
            <w:vAlign w:val="center"/>
            <w:shd w:fill="EAF5F5"/>
            <w:tcBorders>
              <w:top w:val="single" w:sz="4" w:color="007B83"/>
              <w:left w:val="single" w:sz="4" w:color="007B83"/>
              <w:bottom w:val="single" w:sz="4" w:color="007B83"/>
              <w:right w:val="single" w:sz="4" w:color="007B83"/>
            </w:tcBorders>
          </w:tcPr>
          <w:p>
            <w:pPr>
              <w:keepNext w:val="0"/>
              <w:spacing w:before="0" w:after="40" w:line="240" w:lineRule="auto"/>
              <w:jc w:val="center"/>
            </w:pPr>
            <w:r>
              <w:rPr>
                <w:rFonts w:ascii="Arial" w:hAnsi="Arial"/>
                <w:b/>
                <w:color w:val="007B83"/>
                <w:sz w:val="24"/>
              </w:rPr>
              <w:t>1</w:t>
              <w:br/>
            </w:r>
            <w:r>
              <w:rPr>
                <w:rFonts w:ascii="Arial" w:hAnsi="Arial"/>
                <w:b/>
                <w:color w:val="123047"/>
                <w:sz w:val="18"/>
              </w:rPr>
              <w:t>Identificar</w:t>
              <w:br/>
            </w:r>
            <w:r>
              <w:rPr>
                <w:rFonts w:ascii="Arial" w:hAnsi="Arial"/>
                <w:color w:val="1E2933"/>
                <w:sz w:val="16"/>
              </w:rPr>
              <w:t>Se escanea la pieza.</w:t>
            </w:r>
          </w:p>
        </w:tc>
        <w:tc>
          <w:tcPr>
            <w:tcW w:type="dxa" w:w="1800"/>
            <w:tcMar>
              <w:top w:w="100" w:type="dxa"/>
              <w:start w:w="120" w:type="dxa"/>
              <w:bottom w:w="100" w:type="dxa"/>
              <w:end w:w="120" w:type="dxa"/>
            </w:tcMar>
            <w:vAlign w:val="center"/>
            <w:shd w:fill="F5F8FA"/>
            <w:tcBorders>
              <w:top w:val="single" w:sz="4" w:color="007B83"/>
              <w:left w:val="single" w:sz="4" w:color="007B83"/>
              <w:bottom w:val="single" w:sz="4" w:color="007B83"/>
              <w:right w:val="single" w:sz="4" w:color="007B83"/>
            </w:tcBorders>
          </w:tcPr>
          <w:p>
            <w:pPr>
              <w:keepNext w:val="0"/>
              <w:spacing w:before="0" w:after="40" w:line="240" w:lineRule="auto"/>
              <w:jc w:val="center"/>
            </w:pPr>
            <w:r>
              <w:rPr>
                <w:rFonts w:ascii="Arial" w:hAnsi="Arial"/>
                <w:b/>
                <w:color w:val="007B83"/>
                <w:sz w:val="24"/>
              </w:rPr>
              <w:t>2</w:t>
              <w:br/>
            </w:r>
            <w:r>
              <w:rPr>
                <w:rFonts w:ascii="Arial" w:hAnsi="Arial"/>
                <w:b/>
                <w:color w:val="123047"/>
                <w:sz w:val="18"/>
              </w:rPr>
              <w:t>Inspeccionar</w:t>
              <w:br/>
            </w:r>
            <w:r>
              <w:rPr>
                <w:rFonts w:ascii="Arial" w:hAnsi="Arial"/>
                <w:color w:val="1E2933"/>
                <w:sz w:val="16"/>
              </w:rPr>
              <w:t>Máquina genera imágenes y resultado.</w:t>
            </w:r>
          </w:p>
        </w:tc>
        <w:tc>
          <w:tcPr>
            <w:tcW w:type="dxa" w:w="1800"/>
            <w:tcMar>
              <w:top w:w="100" w:type="dxa"/>
              <w:start w:w="120" w:type="dxa"/>
              <w:bottom w:w="100" w:type="dxa"/>
              <w:end w:w="120" w:type="dxa"/>
            </w:tcMar>
            <w:vAlign w:val="center"/>
            <w:shd w:fill="EAF5F5"/>
            <w:tcBorders>
              <w:top w:val="single" w:sz="4" w:color="007B83"/>
              <w:left w:val="single" w:sz="4" w:color="007B83"/>
              <w:bottom w:val="single" w:sz="4" w:color="007B83"/>
              <w:right w:val="single" w:sz="4" w:color="007B83"/>
            </w:tcBorders>
          </w:tcPr>
          <w:p>
            <w:pPr>
              <w:keepNext w:val="0"/>
              <w:spacing w:before="0" w:after="40" w:line="240" w:lineRule="auto"/>
              <w:jc w:val="center"/>
            </w:pPr>
            <w:r>
              <w:rPr>
                <w:rFonts w:ascii="Arial" w:hAnsi="Arial"/>
                <w:b/>
                <w:color w:val="007B83"/>
                <w:sz w:val="24"/>
              </w:rPr>
              <w:t>3</w:t>
              <w:br/>
            </w:r>
            <w:r>
              <w:rPr>
                <w:rFonts w:ascii="Arial" w:hAnsi="Arial"/>
                <w:b/>
                <w:color w:val="123047"/>
                <w:sz w:val="18"/>
              </w:rPr>
              <w:t>Cerrar evento</w:t>
              <w:br/>
            </w:r>
            <w:r>
              <w:rPr>
                <w:rFonts w:ascii="Arial" w:hAnsi="Arial"/>
                <w:color w:val="1E2933"/>
                <w:sz w:val="16"/>
              </w:rPr>
              <w:t>Edge crea expediente y hash.</w:t>
            </w:r>
          </w:p>
        </w:tc>
        <w:tc>
          <w:tcPr>
            <w:tcW w:type="dxa" w:w="1800"/>
            <w:tcMar>
              <w:top w:w="100" w:type="dxa"/>
              <w:start w:w="120" w:type="dxa"/>
              <w:bottom w:w="100" w:type="dxa"/>
              <w:end w:w="120" w:type="dxa"/>
            </w:tcMar>
            <w:vAlign w:val="center"/>
            <w:shd w:fill="F5F8FA"/>
            <w:tcBorders>
              <w:top w:val="single" w:sz="4" w:color="007B83"/>
              <w:left w:val="single" w:sz="4" w:color="007B83"/>
              <w:bottom w:val="single" w:sz="4" w:color="007B83"/>
              <w:right w:val="single" w:sz="4" w:color="007B83"/>
            </w:tcBorders>
          </w:tcPr>
          <w:p>
            <w:pPr>
              <w:keepNext w:val="0"/>
              <w:spacing w:before="0" w:after="40" w:line="240" w:lineRule="auto"/>
              <w:jc w:val="center"/>
            </w:pPr>
            <w:r>
              <w:rPr>
                <w:rFonts w:ascii="Arial" w:hAnsi="Arial"/>
                <w:b/>
                <w:color w:val="007B83"/>
                <w:sz w:val="24"/>
              </w:rPr>
              <w:t>4</w:t>
              <w:br/>
            </w:r>
            <w:r>
              <w:rPr>
                <w:rFonts w:ascii="Arial" w:hAnsi="Arial"/>
                <w:b/>
                <w:color w:val="123047"/>
                <w:sz w:val="18"/>
              </w:rPr>
              <w:t>Resguardar</w:t>
              <w:br/>
            </w:r>
            <w:r>
              <w:rPr>
                <w:rFonts w:ascii="Arial" w:hAnsi="Arial"/>
                <w:color w:val="1E2933"/>
                <w:sz w:val="16"/>
              </w:rPr>
              <w:t>Copia local y cola offline.</w:t>
            </w:r>
          </w:p>
        </w:tc>
        <w:tc>
          <w:tcPr>
            <w:tcW w:type="dxa" w:w="2160"/>
            <w:tcMar>
              <w:top w:w="100" w:type="dxa"/>
              <w:start w:w="120" w:type="dxa"/>
              <w:bottom w:w="100" w:type="dxa"/>
              <w:end w:w="120" w:type="dxa"/>
            </w:tcMar>
            <w:vAlign w:val="center"/>
            <w:shd w:fill="EAF5F5"/>
            <w:tcBorders>
              <w:top w:val="single" w:sz="4" w:color="007B83"/>
              <w:left w:val="single" w:sz="4" w:color="007B83"/>
              <w:bottom w:val="single" w:sz="4" w:color="007B83"/>
              <w:right w:val="single" w:sz="4" w:color="007B83"/>
            </w:tcBorders>
          </w:tcPr>
          <w:p>
            <w:pPr>
              <w:keepNext w:val="0"/>
              <w:spacing w:before="0" w:after="40" w:line="240" w:lineRule="auto"/>
              <w:jc w:val="center"/>
            </w:pPr>
            <w:r>
              <w:rPr>
                <w:rFonts w:ascii="Arial" w:hAnsi="Arial"/>
                <w:b/>
                <w:color w:val="007B83"/>
                <w:sz w:val="24"/>
              </w:rPr>
              <w:t>5</w:t>
              <w:br/>
            </w:r>
            <w:r>
              <w:rPr>
                <w:rFonts w:ascii="Arial" w:hAnsi="Arial"/>
                <w:b/>
                <w:color w:val="123047"/>
                <w:sz w:val="18"/>
              </w:rPr>
              <w:t>Sincronizar</w:t>
              <w:br/>
            </w:r>
            <w:r>
              <w:rPr>
                <w:rFonts w:ascii="Arial" w:hAnsi="Arial"/>
                <w:color w:val="1E2933"/>
                <w:sz w:val="16"/>
              </w:rPr>
              <w:t>Nube valida, inmoviliza y publica.</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7E5"/>
            <w:tcBorders>
              <w:top w:val="single" w:sz="8" w:color="007B83"/>
              <w:left w:val="single" w:sz="8" w:color="007B83"/>
              <w:bottom w:val="single" w:sz="8" w:color="007B83"/>
              <w:right w:val="single" w:sz="8" w:color="007B83"/>
            </w:tcBorders>
          </w:tcPr>
          <w:p>
            <w:pPr>
              <w:keepNext w:val="0"/>
              <w:spacing w:before="0" w:after="0" w:line="276" w:lineRule="auto"/>
            </w:pPr>
            <w:r>
              <w:rPr>
                <w:rFonts w:ascii="Arial" w:hAnsi="Arial"/>
                <w:b/>
                <w:color w:val="123047"/>
                <w:sz w:val="20"/>
              </w:rPr>
              <w:t xml:space="preserve">Comportamiento offline. </w:t>
            </w:r>
            <w:r>
              <w:rPr>
                <w:rFonts w:ascii="Arial" w:hAnsi="Arial"/>
                <w:color w:val="1E2933"/>
                <w:sz w:val="20"/>
              </w:rPr>
              <w:t>Si no existe conectividad, la estación no pierde ni detiene la captura: almacena eventos en una cola local cifrada. Al recuperar conexión, reintenta la sincronización, confirma la integridad de cada archivo y marca el expediente como sincronizado.</w:t>
            </w:r>
          </w:p>
        </w:tc>
      </w:tr>
    </w:tbl>
    <w:p>
      <w:pPr>
        <w:spacing w:after="20"/>
      </w:pPr>
    </w:p>
    <w:p>
      <w:pPr>
        <w:pStyle w:val="Heading1"/>
        <w:keepNext/>
        <w:spacing w:before="360" w:after="160" w:line="264" w:lineRule="auto"/>
      </w:pPr>
      <w:r>
        <w:rPr>
          <w:rFonts w:ascii="Arial" w:hAnsi="Arial"/>
          <w:b/>
          <w:color w:val="123047"/>
          <w:sz w:val="32"/>
        </w:rPr>
        <w:t>4. Expediente digital de una pieza</w:t>
      </w:r>
    </w:p>
    <w:p>
      <w:pPr>
        <w:pStyle w:val="Body"/>
        <w:keepNext w:val="0"/>
        <w:spacing w:before="0" w:after="160" w:line="307" w:lineRule="auto"/>
      </w:pPr>
      <w:r>
        <w:rPr>
          <w:rFonts w:ascii="Arial" w:hAnsi="Arial"/>
          <w:color w:val="1E2933"/>
          <w:sz w:val="21"/>
        </w:rPr>
        <w:t>Cada ciclo de inspección genera un evento de trazabilidad. Para que el historial sea comprensible y auditable, se recomienda distinguir entre identidad de pieza, contexto de producción, resultado técnico, archivos de evidencia y eventos de auditoría.</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Grupo</w:t>
            </w:r>
          </w:p>
        </w:tc>
        <w:tc>
          <w:tcPr>
            <w:tcW w:type="dxa" w:w="716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Campos mínimos del MVP</w:t>
            </w:r>
          </w:p>
        </w:tc>
      </w:tr>
      <w:tr>
        <w:tc>
          <w:tcPr>
            <w:tcW w:type="dxa" w:w="22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Identidad</w:t>
            </w:r>
          </w:p>
        </w:tc>
        <w:tc>
          <w:tcPr>
            <w:tcW w:type="dxa" w:w="71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Número de parte, serie/DataMatrix, ID de evento, lote, orden de producción.</w:t>
            </w:r>
          </w:p>
        </w:tc>
      </w:tr>
      <w:tr>
        <w:tc>
          <w:tcPr>
            <w:tcW w:type="dxa" w:w="22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Contexto</w:t>
            </w:r>
          </w:p>
        </w:tc>
        <w:tc>
          <w:tcPr>
            <w:tcW w:type="dxa" w:w="71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Planta, línea, estación, máquina/cámara, operador, turno, fecha y hora.</w:t>
            </w:r>
          </w:p>
        </w:tc>
      </w:tr>
      <w:tr>
        <w:tc>
          <w:tcPr>
            <w:tcW w:type="dxa" w:w="22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Resultado</w:t>
            </w:r>
          </w:p>
        </w:tc>
        <w:tc>
          <w:tcPr>
            <w:tcW w:type="dxa" w:w="71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OK, NOK, retrabajo o revisión; defecto, medidas, reglas/umbrales y receta de inspección.</w:t>
            </w:r>
          </w:p>
        </w:tc>
      </w:tr>
      <w:tr>
        <w:tc>
          <w:tcPr>
            <w:tcW w:type="dxa" w:w="22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Evidencia</w:t>
            </w:r>
          </w:p>
        </w:tc>
        <w:tc>
          <w:tcPr>
            <w:tcW w:type="dxa" w:w="71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Imagen original, imagen anotada, archivo de medición y hash SHA-256 de cada archivo.</w:t>
            </w:r>
          </w:p>
        </w:tc>
      </w:tr>
      <w:tr>
        <w:tc>
          <w:tcPr>
            <w:tcW w:type="dxa" w:w="22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Configuración</w:t>
            </w:r>
          </w:p>
        </w:tc>
        <w:tc>
          <w:tcPr>
            <w:tcW w:type="dxa" w:w="71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Versión de algoritmo/modelo, receta, versión de software y parámetros aplicables.</w:t>
            </w:r>
          </w:p>
        </w:tc>
      </w:tr>
      <w:tr>
        <w:tc>
          <w:tcPr>
            <w:tcW w:type="dxa" w:w="22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Auditoría</w:t>
            </w:r>
          </w:p>
        </w:tc>
        <w:tc>
          <w:tcPr>
            <w:tcW w:type="dxa" w:w="71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Eventos de creación, consulta, exportación, comentario, decisión, corrección y sincronización.</w:t>
            </w:r>
          </w:p>
        </w:tc>
      </w:tr>
    </w:tbl>
    <w:p>
      <w:pPr>
        <w:spacing w:after="20"/>
      </w:pPr>
    </w:p>
    <w:p>
      <w:pPr>
        <w:pStyle w:val="Heading2"/>
        <w:keepNext/>
        <w:spacing w:before="240" w:after="100" w:line="264" w:lineRule="auto"/>
      </w:pPr>
      <w:r>
        <w:rPr>
          <w:rFonts w:ascii="Arial" w:hAnsi="Arial"/>
          <w:b/>
          <w:color w:val="007B83"/>
          <w:sz w:val="24"/>
        </w:rPr>
        <w:t>Reglas de inmutabilidad y auditoría</w:t>
      </w:r>
    </w:p>
    <w:p>
      <w:pPr>
        <w:pStyle w:val="ListNumber"/>
        <w:keepNext w:val="0"/>
        <w:spacing w:before="0" w:after="80" w:line="288" w:lineRule="auto"/>
        <w:ind w:left="403" w:hanging="288"/>
      </w:pPr>
      <w:r>
        <w:rPr>
          <w:rFonts w:ascii="Arial" w:hAnsi="Arial"/>
          <w:color w:val="1E2933"/>
          <w:sz w:val="20"/>
        </w:rPr>
        <w:t>Al concluir la inspección, el edge calcula un hash para cada archivo original y registra los hashes dentro del evento.</w:t>
      </w:r>
    </w:p>
    <w:p>
      <w:pPr>
        <w:pStyle w:val="ListNumber"/>
        <w:keepNext w:val="0"/>
        <w:spacing w:before="0" w:after="80" w:line="288" w:lineRule="auto"/>
        <w:ind w:left="403" w:hanging="288"/>
      </w:pPr>
      <w:r>
        <w:rPr>
          <w:rFonts w:ascii="Arial" w:hAnsi="Arial"/>
          <w:color w:val="1E2933"/>
          <w:sz w:val="20"/>
        </w:rPr>
        <w:t>El registro se cierra y se conserva como evidencia. No se permite reemplazar el archivo original ni editar su resultado sin dejar rastro.</w:t>
      </w:r>
    </w:p>
    <w:p>
      <w:pPr>
        <w:pStyle w:val="ListNumber"/>
        <w:keepNext w:val="0"/>
        <w:spacing w:before="0" w:after="80" w:line="288" w:lineRule="auto"/>
        <w:ind w:left="403" w:hanging="288"/>
      </w:pPr>
      <w:r>
        <w:rPr>
          <w:rFonts w:ascii="Arial" w:hAnsi="Arial"/>
          <w:color w:val="1E2933"/>
          <w:sz w:val="20"/>
        </w:rPr>
        <w:t>Si una persona necesita corregir una clasificación o agregar una disposición, crea un evento nuevo enlazado al original, con usuario, sello de tiempo, motivo y comentario.</w:t>
      </w:r>
    </w:p>
    <w:p>
      <w:pPr>
        <w:pStyle w:val="ListNumber"/>
        <w:keepNext w:val="0"/>
        <w:spacing w:before="0" w:after="80" w:line="288" w:lineRule="auto"/>
        <w:ind w:left="403" w:hanging="288"/>
      </w:pPr>
      <w:r>
        <w:rPr>
          <w:rFonts w:ascii="Arial" w:hAnsi="Arial"/>
          <w:color w:val="1E2933"/>
          <w:sz w:val="20"/>
        </w:rPr>
        <w:t>Al sincronizar, la plataforma recalcula o verifica los hashes y conserva el objeto en almacenamiento con retención inmutable (WORM) configurada.</w:t>
      </w:r>
    </w:p>
    <w:p>
      <w:pPr>
        <w:pStyle w:val="ListNumber"/>
        <w:keepNext w:val="0"/>
        <w:spacing w:before="0" w:after="80" w:line="288" w:lineRule="auto"/>
        <w:ind w:left="403" w:hanging="288"/>
      </w:pPr>
      <w:r>
        <w:rPr>
          <w:rFonts w:ascii="Arial" w:hAnsi="Arial"/>
          <w:color w:val="1E2933"/>
          <w:sz w:val="20"/>
        </w:rPr>
        <w:t>La bitácora de auditoría es de sólo adición: registra quién hizo qué, desde dónde, cuándo y sobre cuál expediente.</w:t>
      </w:r>
    </w:p>
    <w:p>
      <w:pPr>
        <w:pStyle w:val="Heading1"/>
        <w:keepNext/>
        <w:spacing w:before="360" w:after="160" w:line="264" w:lineRule="auto"/>
      </w:pPr>
      <w:r>
        <w:rPr>
          <w:rFonts w:ascii="Arial" w:hAnsi="Arial"/>
          <w:b/>
          <w:color w:val="123047"/>
          <w:sz w:val="32"/>
        </w:rPr>
        <w:t>5. MVP propuesto</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AF5F5"/>
            <w:tcBorders>
              <w:top w:val="single" w:sz="8" w:color="007B83"/>
              <w:left w:val="single" w:sz="8" w:color="007B83"/>
              <w:bottom w:val="single" w:sz="8" w:color="007B83"/>
              <w:right w:val="single" w:sz="8" w:color="007B83"/>
            </w:tcBorders>
          </w:tcPr>
          <w:p>
            <w:pPr>
              <w:keepNext w:val="0"/>
              <w:spacing w:before="0" w:after="0" w:line="276" w:lineRule="auto"/>
            </w:pPr>
            <w:r>
              <w:rPr>
                <w:rFonts w:ascii="Arial" w:hAnsi="Arial"/>
                <w:b/>
                <w:color w:val="123047"/>
                <w:sz w:val="20"/>
              </w:rPr>
              <w:t xml:space="preserve">Meta del MVP. </w:t>
            </w:r>
            <w:r>
              <w:rPr>
                <w:rFonts w:ascii="Arial" w:hAnsi="Arial"/>
                <w:color w:val="1E2933"/>
                <w:sz w:val="20"/>
              </w:rPr>
              <w:t>Demostrar un circuito completo y creíble de trazabilidad en una estación: una pieza identificada entra al proceso, se inspecciona, deja evidencia local y se consulta desde un portal después de sincronizar.</w:t>
            </w:r>
          </w:p>
        </w:tc>
      </w:tr>
    </w:tbl>
    <w:p>
      <w:pPr>
        <w:spacing w:after="20"/>
      </w:pPr>
    </w:p>
    <w:tbl>
      <w:tblPr>
        <w:tblW w:type="dxa" w:w="9360"/>
        <w:jc w:val="left"/>
        <w:tblLayout w:type="fixed"/>
        <w:tblLook w:firstColumn="1" w:firstRow="1" w:lastColumn="0" w:lastRow="0" w:noHBand="0" w:noVBand="1" w:val="04A0"/>
        <w:tblInd w:w="120" w:type="dxa"/>
      </w:tblPr>
      <w:tblGrid>
        <w:gridCol w:w="1900"/>
        <w:gridCol w:w="5700"/>
        <w:gridCol w:w="1760"/>
      </w:tblGrid>
      <w:tr>
        <w:trPr>
          <w:tblHeader w:val="true"/>
        </w:trPr>
        <w:tc>
          <w:tcPr>
            <w:tcW w:type="dxa" w:w="19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7"/>
              </w:rPr>
              <w:t>Módulo</w:t>
            </w:r>
          </w:p>
        </w:tc>
        <w:tc>
          <w:tcPr>
            <w:tcW w:type="dxa" w:w="57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7"/>
              </w:rPr>
              <w:t>Capacidad</w:t>
            </w:r>
          </w:p>
        </w:tc>
        <w:tc>
          <w:tcPr>
            <w:tcW w:type="dxa" w:w="176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7"/>
              </w:rPr>
              <w:t>MVP</w:t>
            </w:r>
          </w:p>
        </w:tc>
      </w:tr>
      <w:tr>
        <w:tc>
          <w:tcPr>
            <w:tcW w:type="dxa" w:w="19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Identificación</w:t>
            </w:r>
          </w:p>
        </w:tc>
        <w:tc>
          <w:tcPr>
            <w:tcW w:type="dxa" w:w="57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Captura manual o por lector de número de parte y número de serie/DataMatrix.</w:t>
            </w:r>
          </w:p>
        </w:tc>
        <w:tc>
          <w:tcPr>
            <w:tcW w:type="dxa" w:w="17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Incluido</w:t>
            </w:r>
          </w:p>
        </w:tc>
      </w:tr>
      <w:tr>
        <w:tc>
          <w:tcPr>
            <w:tcW w:type="dxa" w:w="19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Captura de inspección</w:t>
            </w:r>
          </w:p>
        </w:tc>
        <w:tc>
          <w:tcPr>
            <w:tcW w:type="dxa" w:w="57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Recepción de resultado e imagen desde carpeta, API, archivo exportado o conector simulado de la máquina.</w:t>
            </w:r>
          </w:p>
        </w:tc>
        <w:tc>
          <w:tcPr>
            <w:tcW w:type="dxa" w:w="17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Incluido</w:t>
            </w:r>
          </w:p>
        </w:tc>
      </w:tr>
      <w:tr>
        <w:tc>
          <w:tcPr>
            <w:tcW w:type="dxa" w:w="19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Expediente</w:t>
            </w:r>
          </w:p>
        </w:tc>
        <w:tc>
          <w:tcPr>
            <w:tcW w:type="dxa" w:w="57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Creación de registro, metadatos, estado OK/NOK y asociación con evidencia.</w:t>
            </w:r>
          </w:p>
        </w:tc>
        <w:tc>
          <w:tcPr>
            <w:tcW w:type="dxa" w:w="17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Incluido</w:t>
            </w:r>
          </w:p>
        </w:tc>
      </w:tr>
      <w:tr>
        <w:tc>
          <w:tcPr>
            <w:tcW w:type="dxa" w:w="19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Edge offline</w:t>
            </w:r>
          </w:p>
        </w:tc>
        <w:tc>
          <w:tcPr>
            <w:tcW w:type="dxa" w:w="57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Persistencia local, cola de sincronización y reintento cuando se restablece la red.</w:t>
            </w:r>
          </w:p>
        </w:tc>
        <w:tc>
          <w:tcPr>
            <w:tcW w:type="dxa" w:w="17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Incluido</w:t>
            </w:r>
          </w:p>
        </w:tc>
      </w:tr>
      <w:tr>
        <w:tc>
          <w:tcPr>
            <w:tcW w:type="dxa" w:w="19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Portal</w:t>
            </w:r>
          </w:p>
        </w:tc>
        <w:tc>
          <w:tcPr>
            <w:tcW w:type="dxa" w:w="57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Búsqueda, ficha de pieza, visualización de imágenes y línea de tiempo de auditoría.</w:t>
            </w:r>
          </w:p>
        </w:tc>
        <w:tc>
          <w:tcPr>
            <w:tcW w:type="dxa" w:w="17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Incluido</w:t>
            </w:r>
          </w:p>
        </w:tc>
      </w:tr>
      <w:tr>
        <w:tc>
          <w:tcPr>
            <w:tcW w:type="dxa" w:w="19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Integridad</w:t>
            </w:r>
          </w:p>
        </w:tc>
        <w:tc>
          <w:tcPr>
            <w:tcW w:type="dxa" w:w="57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Hash de archivo, control de cambios y retención lógica de evidencia.</w:t>
            </w:r>
          </w:p>
        </w:tc>
        <w:tc>
          <w:tcPr>
            <w:tcW w:type="dxa" w:w="17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Incluido</w:t>
            </w:r>
          </w:p>
        </w:tc>
      </w:tr>
      <w:tr>
        <w:tc>
          <w:tcPr>
            <w:tcW w:type="dxa" w:w="19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ERP/MES</w:t>
            </w:r>
          </w:p>
        </w:tc>
        <w:tc>
          <w:tcPr>
            <w:tcW w:type="dxa" w:w="57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Lectura automática de órdenes, bloqueo de producción o intercambio bidireccional.</w:t>
            </w:r>
          </w:p>
        </w:tc>
        <w:tc>
          <w:tcPr>
            <w:tcW w:type="dxa" w:w="17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Fase posterior</w:t>
            </w:r>
          </w:p>
        </w:tc>
      </w:tr>
      <w:tr>
        <w:tc>
          <w:tcPr>
            <w:tcW w:type="dxa" w:w="19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Analítica avanzada</w:t>
            </w:r>
          </w:p>
        </w:tc>
        <w:tc>
          <w:tcPr>
            <w:tcW w:type="dxa" w:w="57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Indicadores, alertas de tendencias y modelos de IA adicionales.</w:t>
            </w:r>
          </w:p>
        </w:tc>
        <w:tc>
          <w:tcPr>
            <w:tcW w:type="dxa" w:w="17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Fase posterior</w:t>
            </w:r>
          </w:p>
        </w:tc>
      </w:tr>
      <w:tr>
        <w:tc>
          <w:tcPr>
            <w:tcW w:type="dxa" w:w="19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Multi-planta</w:t>
            </w:r>
          </w:p>
        </w:tc>
        <w:tc>
          <w:tcPr>
            <w:tcW w:type="dxa" w:w="57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Gestión de varias plantas, redes segregadas o gran volumen empresarial.</w:t>
            </w:r>
          </w:p>
        </w:tc>
        <w:tc>
          <w:tcPr>
            <w:tcW w:type="dxa" w:w="17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Fase posterior</w:t>
            </w:r>
          </w:p>
        </w:tc>
      </w:tr>
    </w:tbl>
    <w:p>
      <w:pPr>
        <w:spacing w:after="20"/>
      </w:pPr>
    </w:p>
    <w:p>
      <w:pPr>
        <w:pStyle w:val="Heading2"/>
        <w:keepNext/>
        <w:spacing w:before="240" w:after="100" w:line="264" w:lineRule="auto"/>
      </w:pPr>
      <w:r>
        <w:rPr>
          <w:rFonts w:ascii="Arial" w:hAnsi="Arial"/>
          <w:b/>
          <w:color w:val="007B83"/>
          <w:sz w:val="24"/>
        </w:rPr>
        <w:t>Demostración sugerida para presentación</w:t>
      </w:r>
    </w:p>
    <w:tbl>
      <w:tblPr>
        <w:tblW w:type="dxa" w:w="9360"/>
        <w:jc w:val="left"/>
        <w:tblLayout w:type="fixed"/>
        <w:tblLook w:firstColumn="1" w:firstRow="1" w:lastColumn="0" w:lastRow="0" w:noHBand="0" w:noVBand="1" w:val="04A0"/>
        <w:tblInd w:w="120" w:type="dxa"/>
      </w:tblPr>
      <w:tblGrid>
        <w:gridCol w:w="800"/>
        <w:gridCol w:w="2000"/>
        <w:gridCol w:w="6560"/>
      </w:tblGrid>
      <w:tr>
        <w:trPr>
          <w:tblHeader w:val="true"/>
        </w:trPr>
        <w:tc>
          <w:tcPr>
            <w:tcW w:type="dxa" w:w="8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Paso</w:t>
            </w:r>
          </w:p>
        </w:tc>
        <w:tc>
          <w:tcPr>
            <w:tcW w:type="dxa" w:w="20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Acción</w:t>
            </w:r>
          </w:p>
        </w:tc>
        <w:tc>
          <w:tcPr>
            <w:tcW w:type="dxa" w:w="656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Lo que demuestra</w:t>
            </w:r>
          </w:p>
        </w:tc>
      </w:tr>
      <w:tr>
        <w:tc>
          <w:tcPr>
            <w:tcW w:type="dxa" w:w="8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01</w:t>
            </w:r>
          </w:p>
        </w:tc>
        <w:tc>
          <w:tcPr>
            <w:tcW w:type="dxa" w:w="20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Escanear</w:t>
            </w:r>
          </w:p>
        </w:tc>
        <w:tc>
          <w:tcPr>
            <w:tcW w:type="dxa" w:w="65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Introducir o leer el ID de una pieza de ejemplo.</w:t>
            </w:r>
          </w:p>
        </w:tc>
      </w:tr>
      <w:tr>
        <w:tc>
          <w:tcPr>
            <w:tcW w:type="dxa" w:w="8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02</w:t>
            </w:r>
          </w:p>
        </w:tc>
        <w:tc>
          <w:tcPr>
            <w:tcW w:type="dxa" w:w="20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Inspeccionar</w:t>
            </w:r>
          </w:p>
        </w:tc>
        <w:tc>
          <w:tcPr>
            <w:tcW w:type="dxa" w:w="65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Generar una inspección OK y otra NOK con imágenes de muestra.</w:t>
            </w:r>
          </w:p>
        </w:tc>
      </w:tr>
      <w:tr>
        <w:tc>
          <w:tcPr>
            <w:tcW w:type="dxa" w:w="8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03</w:t>
            </w:r>
          </w:p>
        </w:tc>
        <w:tc>
          <w:tcPr>
            <w:tcW w:type="dxa" w:w="20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Interrumpir red</w:t>
            </w:r>
          </w:p>
        </w:tc>
        <w:tc>
          <w:tcPr>
            <w:tcW w:type="dxa" w:w="65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Mostrar que los eventos quedan en la cola local sin pérdida.</w:t>
            </w:r>
          </w:p>
        </w:tc>
      </w:tr>
      <w:tr>
        <w:tc>
          <w:tcPr>
            <w:tcW w:type="dxa" w:w="8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04</w:t>
            </w:r>
          </w:p>
        </w:tc>
        <w:tc>
          <w:tcPr>
            <w:tcW w:type="dxa" w:w="20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Recuperar red</w:t>
            </w:r>
          </w:p>
        </w:tc>
        <w:tc>
          <w:tcPr>
            <w:tcW w:type="dxa" w:w="65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Sincronizar y confirmar que hashes y archivos coinciden.</w:t>
            </w:r>
          </w:p>
        </w:tc>
      </w:tr>
      <w:tr>
        <w:tc>
          <w:tcPr>
            <w:tcW w:type="dxa" w:w="8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05</w:t>
            </w:r>
          </w:p>
        </w:tc>
        <w:tc>
          <w:tcPr>
            <w:tcW w:type="dxa" w:w="20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Consultar</w:t>
            </w:r>
          </w:p>
        </w:tc>
        <w:tc>
          <w:tcPr>
            <w:tcW w:type="dxa" w:w="65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Buscar una serie y abrir su expediente con imagen, resultado, datos de producción y auditoría.</w:t>
            </w:r>
          </w:p>
        </w:tc>
      </w:tr>
    </w:tbl>
    <w:p>
      <w:pPr>
        <w:spacing w:after="20"/>
      </w:pPr>
    </w:p>
    <w:p>
      <w:pPr>
        <w:pStyle w:val="Heading1"/>
        <w:keepNext/>
        <w:spacing w:before="360" w:after="160" w:line="264" w:lineRule="auto"/>
      </w:pPr>
      <w:r>
        <w:rPr>
          <w:rFonts w:ascii="Arial" w:hAnsi="Arial"/>
          <w:b/>
          <w:color w:val="123047"/>
          <w:sz w:val="32"/>
        </w:rPr>
        <w:t>6. Diseño técnico recomendado para el MVP</w:t>
      </w:r>
    </w:p>
    <w:tbl>
      <w:tblPr>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Componente</w:t>
            </w:r>
          </w:p>
        </w:tc>
        <w:tc>
          <w:tcPr>
            <w:tcW w:type="dxa" w:w="706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Propuesta</w:t>
            </w:r>
          </w:p>
        </w:tc>
      </w:tr>
      <w:tr>
        <w:tc>
          <w:tcPr>
            <w:tcW w:type="dxa" w:w="23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Aplicación edge</w:t>
            </w:r>
          </w:p>
        </w:tc>
        <w:tc>
          <w:tcPr>
            <w:tcW w:type="dxa" w:w="70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Servicio local Windows/Linux con base de datos embebida o local, carpeta de evidencia cifrada y agente de sincronización.</w:t>
            </w:r>
          </w:p>
        </w:tc>
      </w:tr>
      <w:tr>
        <w:tc>
          <w:tcPr>
            <w:tcW w:type="dxa" w:w="23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Integración con máquina</w:t>
            </w:r>
          </w:p>
        </w:tc>
        <w:tc>
          <w:tcPr>
            <w:tcW w:type="dxa" w:w="70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Conector adaptador según capacidad real: API, carpeta vigilada, archivo CSV/XML/JSON, base de datos o protocolo del fabricante.</w:t>
            </w:r>
          </w:p>
        </w:tc>
      </w:tr>
      <w:tr>
        <w:tc>
          <w:tcPr>
            <w:tcW w:type="dxa" w:w="23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API central</w:t>
            </w:r>
          </w:p>
        </w:tc>
        <w:tc>
          <w:tcPr>
            <w:tcW w:type="dxa" w:w="70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Servicio seguro para expedientes, autenticación, colas de carga, metadatos, búsqueda y bitácora.</w:t>
            </w:r>
          </w:p>
        </w:tc>
      </w:tr>
      <w:tr>
        <w:tc>
          <w:tcPr>
            <w:tcW w:type="dxa" w:w="23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Base de datos</w:t>
            </w:r>
          </w:p>
        </w:tc>
        <w:tc>
          <w:tcPr>
            <w:tcW w:type="dxa" w:w="70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Base relacional para relaciones y consultas: pieza, lote, orden, estación, inspección, evidencia, usuario y auditoría.</w:t>
            </w:r>
          </w:p>
        </w:tc>
      </w:tr>
      <w:tr>
        <w:tc>
          <w:tcPr>
            <w:tcW w:type="dxa" w:w="23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Evidencia</w:t>
            </w:r>
          </w:p>
        </w:tc>
        <w:tc>
          <w:tcPr>
            <w:tcW w:type="dxa" w:w="70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Almacenamiento de objetos para imágenes/archivos, con cifrado, versionado y política WORM/retención inmutable.</w:t>
            </w:r>
          </w:p>
        </w:tc>
      </w:tr>
      <w:tr>
        <w:tc>
          <w:tcPr>
            <w:tcW w:type="dxa" w:w="23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Portal web</w:t>
            </w:r>
          </w:p>
        </w:tc>
        <w:tc>
          <w:tcPr>
            <w:tcW w:type="dxa" w:w="70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Interfaz de consulta con filtros, ficha de pieza, visor de imagen, hashes, historial y exportación controlada.</w:t>
            </w:r>
          </w:p>
        </w:tc>
      </w:tr>
      <w:tr>
        <w:tc>
          <w:tcPr>
            <w:tcW w:type="dxa" w:w="23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Observabilidad</w:t>
            </w:r>
          </w:p>
        </w:tc>
        <w:tc>
          <w:tcPr>
            <w:tcW w:type="dxa" w:w="70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Monitoreo de cola, capacidad local, fallas de sincronización, integridad y salud de estación.</w:t>
            </w:r>
          </w:p>
        </w:tc>
      </w:tr>
    </w:tbl>
    <w:p>
      <w:pPr>
        <w:spacing w:after="20"/>
      </w:pPr>
    </w:p>
    <w:p>
      <w:pPr>
        <w:pStyle w:val="Heading2"/>
        <w:keepNext/>
        <w:spacing w:before="240" w:after="100" w:line="264" w:lineRule="auto"/>
      </w:pPr>
      <w:r>
        <w:rPr>
          <w:rFonts w:ascii="Arial" w:hAnsi="Arial"/>
          <w:b/>
          <w:color w:val="007B83"/>
          <w:sz w:val="24"/>
        </w:rPr>
        <w:t>Convención de archivos</w:t>
      </w:r>
    </w:p>
    <w:p>
      <w:pPr>
        <w:pStyle w:val="Body"/>
        <w:keepNext w:val="0"/>
        <w:spacing w:before="0" w:after="80" w:line="307" w:lineRule="auto"/>
      </w:pPr>
      <w:r>
        <w:rPr>
          <w:rFonts w:ascii="Arial" w:hAnsi="Arial"/>
          <w:color w:val="1E2933"/>
          <w:sz w:val="21"/>
        </w:rPr>
        <w:t xml:space="preserve">El sistema debe guardar una clave técnica única y puede utilizar un nombre legible para operación diaria. Ejemplo: </w:t>
      </w:r>
    </w:p>
    <w:p>
      <w:pPr>
        <w:keepNext w:val="0"/>
        <w:spacing w:before="0" w:after="200" w:line="264" w:lineRule="auto"/>
        <w:ind w:left="432"/>
      </w:pPr>
      <w:r>
        <w:rPr>
          <w:rFonts w:ascii="Courier New" w:hAnsi="Courier New"/>
          <w:b/>
          <w:color w:val="123047"/>
          <w:sz w:val="20"/>
        </w:rPr>
        <w:t>AMN_[parte]_[serie]_[resultado]_[fecha-hora]_[cámara].jpg</w:t>
      </w:r>
    </w:p>
    <w:p>
      <w:pPr>
        <w:pStyle w:val="Body"/>
        <w:keepNext w:val="0"/>
        <w:spacing w:before="0" w:after="160" w:line="307" w:lineRule="auto"/>
      </w:pPr>
      <w:r>
        <w:rPr>
          <w:rFonts w:ascii="Arial" w:hAnsi="Arial"/>
          <w:color w:val="1E2933"/>
          <w:sz w:val="21"/>
        </w:rPr>
        <w:t>La asociación válida se conserva en la base de datos mediante ID de evidencia, hash y referencias al expediente; el nombre del archivo no sustituye esa relación.</w:t>
      </w:r>
    </w:p>
    <w:p>
      <w:pPr>
        <w:pStyle w:val="Heading1"/>
        <w:keepNext/>
        <w:spacing w:before="360" w:after="160" w:line="264" w:lineRule="auto"/>
      </w:pPr>
      <w:r>
        <w:rPr>
          <w:rFonts w:ascii="Arial" w:hAnsi="Arial"/>
          <w:b/>
          <w:color w:val="123047"/>
          <w:sz w:val="32"/>
        </w:rPr>
        <w:t>7. Plan de implementación</w:t>
      </w:r>
    </w:p>
    <w:tbl>
      <w:tblPr>
        <w:tblW w:type="dxa" w:w="9360"/>
        <w:jc w:val="left"/>
        <w:tblLayout w:type="fixed"/>
        <w:tblLook w:firstColumn="1" w:firstRow="1" w:lastColumn="0" w:lastRow="0" w:noHBand="0" w:noVBand="1" w:val="04A0"/>
        <w:tblInd w:w="120" w:type="dxa"/>
      </w:tblPr>
      <w:tblGrid>
        <w:gridCol w:w="1800"/>
        <w:gridCol w:w="5660"/>
        <w:gridCol w:w="1900"/>
      </w:tblGrid>
      <w:tr>
        <w:trPr>
          <w:tblHeader w:val="true"/>
        </w:trPr>
        <w:tc>
          <w:tcPr>
            <w:tcW w:type="dxa" w:w="18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Fase</w:t>
            </w:r>
          </w:p>
        </w:tc>
        <w:tc>
          <w:tcPr>
            <w:tcW w:type="dxa" w:w="566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Resultado</w:t>
            </w:r>
          </w:p>
        </w:tc>
        <w:tc>
          <w:tcPr>
            <w:tcW w:type="dxa" w:w="19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8"/>
              </w:rPr>
              <w:t>Estimación inicial</w:t>
            </w:r>
          </w:p>
        </w:tc>
      </w:tr>
      <w:tr>
        <w:tc>
          <w:tcPr>
            <w:tcW w:type="dxa" w:w="18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0. Descubrimiento</w:t>
            </w:r>
          </w:p>
        </w:tc>
        <w:tc>
          <w:tcPr>
            <w:tcW w:type="dxa" w:w="56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Validar datos de la máquina, identificación de pieza, volumen, imágenes por ciclo y reglas de acceso.</w:t>
            </w:r>
          </w:p>
        </w:tc>
        <w:tc>
          <w:tcPr>
            <w:tcW w:type="dxa" w:w="19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2-5 días hábiles</w:t>
            </w:r>
          </w:p>
        </w:tc>
      </w:tr>
      <w:tr>
        <w:tc>
          <w:tcPr>
            <w:tcW w:type="dxa" w:w="18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1. Diseño del MVP</w:t>
            </w:r>
          </w:p>
        </w:tc>
        <w:tc>
          <w:tcPr>
            <w:tcW w:type="dxa" w:w="56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Definir integración, modelo de datos, infraestructura inicial, casos de prueba y demostración.</w:t>
            </w:r>
          </w:p>
        </w:tc>
        <w:tc>
          <w:tcPr>
            <w:tcW w:type="dxa" w:w="19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3-5 días hábiles</w:t>
            </w:r>
          </w:p>
        </w:tc>
      </w:tr>
      <w:tr>
        <w:tc>
          <w:tcPr>
            <w:tcW w:type="dxa" w:w="18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2. Construcción</w:t>
            </w:r>
          </w:p>
        </w:tc>
        <w:tc>
          <w:tcPr>
            <w:tcW w:type="dxa" w:w="56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Implementar edge, API/portal, almacenamiento y bitácora para una estación piloto.</w:t>
            </w:r>
          </w:p>
        </w:tc>
        <w:tc>
          <w:tcPr>
            <w:tcW w:type="dxa" w:w="19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2-4 semanas</w:t>
            </w:r>
          </w:p>
        </w:tc>
      </w:tr>
      <w:tr>
        <w:tc>
          <w:tcPr>
            <w:tcW w:type="dxa" w:w="18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3. Pruebas piloto</w:t>
            </w:r>
          </w:p>
        </w:tc>
        <w:tc>
          <w:tcPr>
            <w:tcW w:type="dxa" w:w="56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Probar operación normal, red caída, reinicio de estación, recuperación y búsquedas de auditoría.</w:t>
            </w:r>
          </w:p>
        </w:tc>
        <w:tc>
          <w:tcPr>
            <w:tcW w:type="dxa" w:w="19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1-2 semanas</w:t>
            </w:r>
          </w:p>
        </w:tc>
      </w:tr>
      <w:tr>
        <w:tc>
          <w:tcPr>
            <w:tcW w:type="dxa" w:w="18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4. Validación y siguiente fase</w:t>
            </w:r>
          </w:p>
        </w:tc>
        <w:tc>
          <w:tcPr>
            <w:tcW w:type="dxa" w:w="56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Documentar hallazgos, estimar escalamiento y definir integración con ERP/MES si aplica.</w:t>
            </w:r>
          </w:p>
        </w:tc>
        <w:tc>
          <w:tcPr>
            <w:tcW w:type="dxa" w:w="19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8"/>
              </w:rPr>
              <w:t>1 semana</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7E5"/>
            <w:tcBorders>
              <w:top w:val="single" w:sz="8" w:color="007B83"/>
              <w:left w:val="single" w:sz="8" w:color="007B83"/>
              <w:bottom w:val="single" w:sz="8" w:color="007B83"/>
              <w:right w:val="single" w:sz="8" w:color="007B83"/>
            </w:tcBorders>
          </w:tcPr>
          <w:p>
            <w:pPr>
              <w:keepNext w:val="0"/>
              <w:spacing w:before="0" w:after="0" w:line="276" w:lineRule="auto"/>
            </w:pPr>
            <w:r>
              <w:rPr>
                <w:rFonts w:ascii="Arial" w:hAnsi="Arial"/>
                <w:b/>
                <w:color w:val="123047"/>
                <w:sz w:val="20"/>
              </w:rPr>
              <w:t xml:space="preserve">Nota de planeación. </w:t>
            </w:r>
            <w:r>
              <w:rPr>
                <w:rFonts w:ascii="Arial" w:hAnsi="Arial"/>
                <w:color w:val="1E2933"/>
                <w:sz w:val="20"/>
              </w:rPr>
              <w:t>Las estimaciones se afinan después de conocer la interfaz de la máquina de inspección y el volumen real. La mayor variable técnica suele ser la forma en que cada máquina entrega imágenes y resultados.</w:t>
            </w:r>
          </w:p>
        </w:tc>
      </w:tr>
    </w:tbl>
    <w:p>
      <w:pPr>
        <w:spacing w:after="20"/>
      </w:pPr>
    </w:p>
    <w:p>
      <w:pPr>
        <w:pStyle w:val="Heading2"/>
        <w:keepNext/>
        <w:spacing w:before="240" w:after="100" w:line="264" w:lineRule="auto"/>
      </w:pPr>
      <w:r>
        <w:rPr>
          <w:rFonts w:ascii="Arial" w:hAnsi="Arial"/>
          <w:b/>
          <w:color w:val="007B83"/>
          <w:sz w:val="24"/>
        </w:rPr>
        <w:t>Criterios de aceptación del piloto</w:t>
      </w:r>
    </w:p>
    <w:p>
      <w:pPr>
        <w:pStyle w:val="ListBullet"/>
        <w:keepNext w:val="0"/>
        <w:spacing w:before="0" w:after="60" w:line="288" w:lineRule="auto"/>
        <w:ind w:left="360" w:hanging="259"/>
      </w:pPr>
      <w:r>
        <w:rPr>
          <w:rFonts w:ascii="Arial" w:hAnsi="Arial"/>
          <w:color w:val="1E2933"/>
          <w:sz w:val="20"/>
        </w:rPr>
        <w:t>Se registra una pieza OK y una NOK con sus imágenes originales y metadatos completos.</w:t>
      </w:r>
    </w:p>
    <w:p>
      <w:pPr>
        <w:pStyle w:val="ListBullet"/>
        <w:keepNext w:val="0"/>
        <w:spacing w:before="0" w:after="60" w:line="288" w:lineRule="auto"/>
        <w:ind w:left="360" w:hanging="259"/>
      </w:pPr>
      <w:r>
        <w:rPr>
          <w:rFonts w:ascii="Arial" w:hAnsi="Arial"/>
          <w:color w:val="1E2933"/>
          <w:sz w:val="20"/>
        </w:rPr>
        <w:t>Se puede buscar cada pieza por serie/ID, número de parte y rango de fecha.</w:t>
      </w:r>
    </w:p>
    <w:p>
      <w:pPr>
        <w:pStyle w:val="ListBullet"/>
        <w:keepNext w:val="0"/>
        <w:spacing w:before="0" w:after="60" w:line="288" w:lineRule="auto"/>
        <w:ind w:left="360" w:hanging="259"/>
      </w:pPr>
      <w:r>
        <w:rPr>
          <w:rFonts w:ascii="Arial" w:hAnsi="Arial"/>
          <w:color w:val="1E2933"/>
          <w:sz w:val="20"/>
        </w:rPr>
        <w:t>La estación sigue creando expedientes cuando no hay conectividad.</w:t>
      </w:r>
    </w:p>
    <w:p>
      <w:pPr>
        <w:pStyle w:val="ListBullet"/>
        <w:keepNext w:val="0"/>
        <w:spacing w:before="0" w:after="60" w:line="288" w:lineRule="auto"/>
        <w:ind w:left="360" w:hanging="259"/>
      </w:pPr>
      <w:r>
        <w:rPr>
          <w:rFonts w:ascii="Arial" w:hAnsi="Arial"/>
          <w:color w:val="1E2933"/>
          <w:sz w:val="20"/>
        </w:rPr>
        <w:t>Al restaurarse la red, los eventos pendientes se sincronizan sin duplicados y con verificación de hash.</w:t>
      </w:r>
    </w:p>
    <w:p>
      <w:pPr>
        <w:pStyle w:val="ListBullet"/>
        <w:keepNext w:val="0"/>
        <w:spacing w:before="0" w:after="60" w:line="288" w:lineRule="auto"/>
        <w:ind w:left="360" w:hanging="259"/>
      </w:pPr>
      <w:r>
        <w:rPr>
          <w:rFonts w:ascii="Arial" w:hAnsi="Arial"/>
          <w:color w:val="1E2933"/>
          <w:sz w:val="20"/>
        </w:rPr>
        <w:t>Una corrección queda registrada como evento nuevo y no destruye el registro original.</w:t>
      </w:r>
    </w:p>
    <w:p>
      <w:pPr>
        <w:pStyle w:val="ListBullet"/>
        <w:keepNext w:val="0"/>
        <w:spacing w:before="0" w:after="60" w:line="288" w:lineRule="auto"/>
        <w:ind w:left="360" w:hanging="259"/>
      </w:pPr>
      <w:r>
        <w:rPr>
          <w:rFonts w:ascii="Arial" w:hAnsi="Arial"/>
          <w:color w:val="1E2933"/>
          <w:sz w:val="20"/>
        </w:rPr>
        <w:t>Un usuario autorizado visualiza la línea de tiempo y la evidencia sin poder alterar originales.</w:t>
      </w:r>
    </w:p>
    <w:p>
      <w:pPr>
        <w:pStyle w:val="Heading1"/>
        <w:keepNext/>
        <w:spacing w:before="360" w:after="160" w:line="264" w:lineRule="auto"/>
      </w:pPr>
      <w:r>
        <w:rPr>
          <w:rFonts w:ascii="Arial" w:hAnsi="Arial"/>
          <w:b/>
          <w:color w:val="123047"/>
          <w:sz w:val="32"/>
        </w:rPr>
        <w:t>8. Dimensionamiento, riesgos y decisiones pendientes</w:t>
      </w:r>
    </w:p>
    <w:p>
      <w:pPr>
        <w:pStyle w:val="Heading2"/>
        <w:keepNext/>
        <w:spacing w:before="240" w:after="100" w:line="264" w:lineRule="auto"/>
      </w:pPr>
      <w:r>
        <w:rPr>
          <w:rFonts w:ascii="Arial" w:hAnsi="Arial"/>
          <w:b/>
          <w:color w:val="007B83"/>
          <w:sz w:val="24"/>
        </w:rPr>
        <w:t>Estimación de almacenamiento</w:t>
      </w:r>
    </w:p>
    <w:p>
      <w:pPr>
        <w:pStyle w:val="Body"/>
        <w:keepNext w:val="0"/>
        <w:spacing w:before="0" w:after="160" w:line="307" w:lineRule="auto"/>
      </w:pPr>
      <w:r>
        <w:rPr>
          <w:rFonts w:ascii="Arial" w:hAnsi="Arial"/>
          <w:color w:val="1E2933"/>
          <w:sz w:val="21"/>
        </w:rPr>
        <w:t>Antes de contratar capacidad definitiva se debe medir el volumen de un turno representativo. La fórmula inicial es:</w:t>
      </w:r>
    </w:p>
    <w:p>
      <w:pPr>
        <w:keepNext w:val="0"/>
        <w:spacing w:before="0" w:after="180" w:line="264" w:lineRule="auto"/>
        <w:jc w:val="center"/>
      </w:pPr>
      <w:r>
        <w:rPr>
          <w:rFonts w:ascii="Arial" w:hAnsi="Arial"/>
          <w:b/>
          <w:color w:val="123047"/>
          <w:sz w:val="20"/>
        </w:rPr>
        <w:t>Piezas/día x imágenes/pieza x MB/imagen x días/año x años de retención</w:t>
      </w:r>
    </w:p>
    <w:p>
      <w:pPr>
        <w:pStyle w:val="Body"/>
        <w:keepNext w:val="0"/>
        <w:spacing w:before="0" w:after="160" w:line="307" w:lineRule="auto"/>
      </w:pPr>
      <w:r>
        <w:rPr>
          <w:rFonts w:ascii="Arial" w:hAnsi="Arial"/>
          <w:color w:val="1E2933"/>
          <w:sz w:val="21"/>
        </w:rPr>
        <w:t>A ese resultado se agregan márgenes para copias de seguridad, imágenes anotadas, archivos de medición, crecimiento de producción y retención local. Como decisión práctica, el almacenamiento local puede conservar la ventana operativa reciente (por ejemplo, 30 a 180 días) y la nube mantener los cinco años, salvo que el cliente pida el mismo horizonte en ambos sitios.</w:t>
      </w:r>
    </w:p>
    <w:tbl>
      <w:tblPr>
        <w:tblW w:type="dxa" w:w="9360"/>
        <w:jc w:val="left"/>
        <w:tblLayout w:type="fixed"/>
        <w:tblLook w:firstColumn="1" w:firstRow="1" w:lastColumn="0" w:lastRow="0" w:noHBand="0" w:noVBand="1" w:val="04A0"/>
        <w:tblInd w:w="120" w:type="dxa"/>
      </w:tblPr>
      <w:tblGrid>
        <w:gridCol w:w="1700"/>
        <w:gridCol w:w="3800"/>
        <w:gridCol w:w="3860"/>
      </w:tblGrid>
      <w:tr>
        <w:trPr>
          <w:tblHeader w:val="true"/>
        </w:trPr>
        <w:tc>
          <w:tcPr>
            <w:tcW w:type="dxa" w:w="17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7"/>
              </w:rPr>
              <w:t>Riesgo</w:t>
            </w:r>
          </w:p>
        </w:tc>
        <w:tc>
          <w:tcPr>
            <w:tcW w:type="dxa" w:w="380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7"/>
              </w:rPr>
              <w:t>Qué falta confirmar</w:t>
            </w:r>
          </w:p>
        </w:tc>
        <w:tc>
          <w:tcPr>
            <w:tcW w:type="dxa" w:w="3860"/>
            <w:tcMar>
              <w:top w:w="100" w:type="dxa"/>
              <w:start w:w="120" w:type="dxa"/>
              <w:bottom w:w="100" w:type="dxa"/>
              <w:end w:w="120" w:type="dxa"/>
            </w:tcMar>
            <w:vAlign w:val="center"/>
            <w:shd w:fill="123047"/>
            <w:tcBorders>
              <w:top w:val="single" w:sz="4" w:color="123047"/>
              <w:left w:val="single" w:sz="4" w:color="123047"/>
              <w:bottom w:val="single" w:sz="4" w:color="123047"/>
              <w:right w:val="single" w:sz="4" w:color="123047"/>
            </w:tcBorders>
          </w:tcPr>
          <w:p>
            <w:pPr>
              <w:keepNext w:val="0"/>
              <w:spacing w:before="0" w:after="0" w:line="240" w:lineRule="auto"/>
            </w:pPr>
            <w:r>
              <w:rPr>
                <w:rFonts w:ascii="Arial" w:hAnsi="Arial"/>
                <w:b/>
                <w:color w:val="FFFFFF"/>
                <w:sz w:val="17"/>
              </w:rPr>
              <w:t>Mitigación</w:t>
            </w:r>
          </w:p>
        </w:tc>
      </w:tr>
      <w:tr>
        <w:tc>
          <w:tcPr>
            <w:tcW w:type="dxa" w:w="17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Integración</w:t>
            </w:r>
          </w:p>
        </w:tc>
        <w:tc>
          <w:tcPr>
            <w:tcW w:type="dxa" w:w="38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No conocer aún cómo la máquina exporta imágenes/resultados.</w:t>
            </w:r>
          </w:p>
        </w:tc>
        <w:tc>
          <w:tcPr>
            <w:tcW w:type="dxa" w:w="38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Solicitar manual, muestras de archivos y acceso de prueba; diseñar un adaptador desacoplado.</w:t>
            </w:r>
          </w:p>
        </w:tc>
      </w:tr>
      <w:tr>
        <w:tc>
          <w:tcPr>
            <w:tcW w:type="dxa" w:w="17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Identidad</w:t>
            </w:r>
          </w:p>
        </w:tc>
        <w:tc>
          <w:tcPr>
            <w:tcW w:type="dxa" w:w="38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Piezas sin número de serie único o lectura inconsistente.</w:t>
            </w:r>
          </w:p>
        </w:tc>
        <w:tc>
          <w:tcPr>
            <w:tcW w:type="dxa" w:w="38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Definir la llave de trazabilidad y el punto del proceso donde se lee/genera.</w:t>
            </w:r>
          </w:p>
        </w:tc>
      </w:tr>
      <w:tr>
        <w:tc>
          <w:tcPr>
            <w:tcW w:type="dxa" w:w="17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Volumen</w:t>
            </w:r>
          </w:p>
        </w:tc>
        <w:tc>
          <w:tcPr>
            <w:tcW w:type="dxa" w:w="38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Subestimar tamaño de imágenes y crecimiento de cinco años.</w:t>
            </w:r>
          </w:p>
        </w:tc>
        <w:tc>
          <w:tcPr>
            <w:tcW w:type="dxa" w:w="38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Medir una semana representativa antes de cerrar costos de nube y hardware.</w:t>
            </w:r>
          </w:p>
        </w:tc>
      </w:tr>
      <w:tr>
        <w:tc>
          <w:tcPr>
            <w:tcW w:type="dxa" w:w="17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Operación</w:t>
            </w:r>
          </w:p>
        </w:tc>
        <w:tc>
          <w:tcPr>
            <w:tcW w:type="dxa" w:w="380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Intervenciones manuales que rompan el vínculo pieza-evidencia.</w:t>
            </w:r>
          </w:p>
        </w:tc>
        <w:tc>
          <w:tcPr>
            <w:tcW w:type="dxa" w:w="3860"/>
            <w:shd w:fill="F5F8FA"/>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Validaciones en pantalla, roles y eventos de excepción con motivo obligatorio.</w:t>
            </w:r>
          </w:p>
        </w:tc>
      </w:tr>
      <w:tr>
        <w:tc>
          <w:tcPr>
            <w:tcW w:type="dxa" w:w="17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Cumplimiento</w:t>
            </w:r>
          </w:p>
        </w:tc>
        <w:tc>
          <w:tcPr>
            <w:tcW w:type="dxa" w:w="380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Reglas específicas del cliente final no confirmadas.</w:t>
            </w:r>
          </w:p>
        </w:tc>
        <w:tc>
          <w:tcPr>
            <w:tcW w:type="dxa" w:w="3860"/>
            <w:shd w:fill="FFFFFF"/>
            <w:tcBorders>
              <w:top w:val="single" w:sz="2" w:color="D7E0E5"/>
              <w:left w:val="single" w:sz="2" w:color="D7E0E5"/>
              <w:bottom w:val="single" w:sz="2" w:color="D7E0E5"/>
              <w:right w:val="single" w:sz="2" w:color="D7E0E5"/>
            </w:tcBorders>
          </w:tcPr>
          <w:p>
            <w:pPr>
              <w:keepNext w:val="0"/>
              <w:spacing w:before="0" w:after="0" w:line="264" w:lineRule="auto"/>
            </w:pPr>
            <w:r>
              <w:rPr>
                <w:rFonts w:ascii="Arial" w:hAnsi="Arial"/>
                <w:color w:val="1E2933"/>
                <w:sz w:val="17"/>
              </w:rPr>
              <w:t>Alinear retención, exportación, aprobaciones y evidencias contra requisitos vigentes del cliente.</w:t>
            </w:r>
          </w:p>
        </w:tc>
      </w:tr>
    </w:tbl>
    <w:p>
      <w:pPr>
        <w:spacing w:after="20"/>
      </w:pPr>
    </w:p>
    <w:p>
      <w:pPr>
        <w:pStyle w:val="Heading2"/>
        <w:keepNext/>
        <w:spacing w:before="240" w:after="100" w:line="264" w:lineRule="auto"/>
      </w:pPr>
      <w:r>
        <w:rPr>
          <w:rFonts w:ascii="Arial" w:hAnsi="Arial"/>
          <w:b/>
          <w:color w:val="007B83"/>
          <w:sz w:val="24"/>
        </w:rPr>
        <w:t>Información necesaria para iniciar</w:t>
      </w:r>
    </w:p>
    <w:p>
      <w:pPr>
        <w:pStyle w:val="ListBullet"/>
        <w:keepNext w:val="0"/>
        <w:spacing w:before="0" w:after="60" w:line="288" w:lineRule="auto"/>
        <w:ind w:left="360" w:hanging="259"/>
      </w:pPr>
      <w:r>
        <w:rPr>
          <w:rFonts w:ascii="Arial" w:hAnsi="Arial"/>
          <w:color w:val="1E2933"/>
          <w:sz w:val="20"/>
        </w:rPr>
        <w:t>Marca/modelo de la máquina y documentación de integración disponible.</w:t>
      </w:r>
    </w:p>
    <w:p>
      <w:pPr>
        <w:pStyle w:val="ListBullet"/>
        <w:keepNext w:val="0"/>
        <w:spacing w:before="0" w:after="60" w:line="288" w:lineRule="auto"/>
        <w:ind w:left="360" w:hanging="259"/>
      </w:pPr>
      <w:r>
        <w:rPr>
          <w:rFonts w:ascii="Arial" w:hAnsi="Arial"/>
          <w:color w:val="1E2933"/>
          <w:sz w:val="20"/>
        </w:rPr>
        <w:t>Ejemplos reales anonimizados de imágenes, resultados y archivos exportados.</w:t>
      </w:r>
    </w:p>
    <w:p>
      <w:pPr>
        <w:pStyle w:val="ListBullet"/>
        <w:keepNext w:val="0"/>
        <w:spacing w:before="0" w:after="60" w:line="288" w:lineRule="auto"/>
        <w:ind w:left="360" w:hanging="259"/>
      </w:pPr>
      <w:r>
        <w:rPr>
          <w:rFonts w:ascii="Arial" w:hAnsi="Arial"/>
          <w:color w:val="1E2933"/>
          <w:sz w:val="20"/>
        </w:rPr>
        <w:t>Volumen por día, imágenes por pieza, tamaño promedio y número de estaciones.</w:t>
      </w:r>
    </w:p>
    <w:p>
      <w:pPr>
        <w:pStyle w:val="ListBullet"/>
        <w:keepNext w:val="0"/>
        <w:spacing w:before="0" w:after="60" w:line="288" w:lineRule="auto"/>
        <w:ind w:left="360" w:hanging="259"/>
      </w:pPr>
      <w:r>
        <w:rPr>
          <w:rFonts w:ascii="Arial" w:hAnsi="Arial"/>
          <w:color w:val="1E2933"/>
          <w:sz w:val="20"/>
        </w:rPr>
        <w:t>Cómo se genera o lee el número de serie/DataMatrix y en qué momento del proceso.</w:t>
      </w:r>
    </w:p>
    <w:p>
      <w:pPr>
        <w:pStyle w:val="ListBullet"/>
        <w:keepNext w:val="0"/>
        <w:spacing w:before="0" w:after="60" w:line="288" w:lineRule="auto"/>
        <w:ind w:left="360" w:hanging="259"/>
      </w:pPr>
      <w:r>
        <w:rPr>
          <w:rFonts w:ascii="Arial" w:hAnsi="Arial"/>
          <w:color w:val="1E2933"/>
          <w:sz w:val="20"/>
        </w:rPr>
        <w:t>Lista inicial de usuarios/roles: operador, calidad, supervisor, auditor y administrador.</w:t>
      </w:r>
    </w:p>
    <w:p>
      <w:pPr>
        <w:pStyle w:val="ListBullet"/>
        <w:keepNext w:val="0"/>
        <w:spacing w:before="0" w:after="60" w:line="288" w:lineRule="auto"/>
        <w:ind w:left="360" w:hanging="259"/>
      </w:pPr>
      <w:r>
        <w:rPr>
          <w:rFonts w:ascii="Arial" w:hAnsi="Arial"/>
          <w:color w:val="1E2933"/>
          <w:sz w:val="20"/>
        </w:rPr>
        <w:t>Políticas de red, preferencias de nube, requisitos del cliente final y regla de retención final.</w:t>
      </w:r>
    </w:p>
    <w:p>
      <w:pPr>
        <w:pStyle w:val="Heading1"/>
        <w:keepNext/>
        <w:spacing w:before="360" w:after="160" w:line="264" w:lineRule="auto"/>
      </w:pPr>
      <w:r>
        <w:rPr>
          <w:rFonts w:ascii="Arial" w:hAnsi="Arial"/>
          <w:b/>
          <w:color w:val="123047"/>
          <w:sz w:val="32"/>
        </w:rPr>
        <w:t>9. Próximo paso recomendado</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AF5F5"/>
            <w:tcBorders>
              <w:top w:val="single" w:sz="8" w:color="007B83"/>
              <w:left w:val="single" w:sz="8" w:color="007B83"/>
              <w:bottom w:val="single" w:sz="8" w:color="007B83"/>
              <w:right w:val="single" w:sz="8" w:color="007B83"/>
            </w:tcBorders>
          </w:tcPr>
          <w:p>
            <w:pPr>
              <w:keepNext w:val="0"/>
              <w:spacing w:before="0" w:after="0" w:line="276" w:lineRule="auto"/>
            </w:pPr>
            <w:r>
              <w:rPr>
                <w:rFonts w:ascii="Arial" w:hAnsi="Arial"/>
                <w:b/>
                <w:color w:val="123047"/>
                <w:sz w:val="20"/>
              </w:rPr>
              <w:t xml:space="preserve">Propuesta inmediata. </w:t>
            </w:r>
            <w:r>
              <w:rPr>
                <w:rFonts w:ascii="Arial" w:hAnsi="Arial"/>
                <w:color w:val="1E2933"/>
                <w:sz w:val="20"/>
              </w:rPr>
              <w:t>Realizar una sesión técnica de 60-90 minutos con producción, calidad e IT para confirmar el método de integración de una estación. Con esa información se prepara el diseño de piloto, la demostración del MVP y una estimación de infraestructura basada en datos reales.</w:t>
            </w:r>
          </w:p>
        </w:tc>
      </w:tr>
    </w:tbl>
    <w:p>
      <w:pPr>
        <w:spacing w:after="20"/>
      </w:pPr>
    </w:p>
    <w:p>
      <w:pPr>
        <w:pStyle w:val="Body"/>
        <w:keepNext w:val="0"/>
        <w:spacing w:before="0" w:after="160" w:line="307" w:lineRule="auto"/>
      </w:pPr>
      <w:r>
        <w:rPr>
          <w:rFonts w:ascii="Arial" w:hAnsi="Arial"/>
          <w:color w:val="1E2933"/>
          <w:sz w:val="21"/>
        </w:rPr>
        <w:t>El MVP debe centrarse en probar la confianza del proceso, no en cubrir todas las integraciones corporativas desde el primer día. Una estación, un flujo de identificación, un conector de inspección, operación offline y consulta central son suficientes para demostrar el valor de AMN Trace y reducir el riesgo de la siguiente fase.</w:t>
      </w:r>
    </w:p>
    <w:p>
      <w:pPr>
        <w:keepNext w:val="0"/>
        <w:spacing w:before="480" w:after="0" w:line="300" w:lineRule="auto"/>
        <w:jc w:val="center"/>
      </w:pPr>
      <w:r>
        <w:rPr>
          <w:rFonts w:ascii="Arial" w:hAnsi="Arial"/>
          <w:b/>
          <w:i/>
          <w:color w:val="007B83"/>
          <w:sz w:val="22"/>
        </w:rPr>
        <w:t>AMN Trace: cada pieza deja evidencia; cada evidencia conserva su historia.</w:t>
      </w:r>
    </w:p>
    <w:sectPr w:rsidR="00FC693F" w:rsidRPr="0006063C" w:rsidSect="00034616">
      <w:headerReference w:type="default" r:id="rId9"/>
      <w:footerReference w:type="default" r:id="rId10"/>
      <w:pgSz w:w="12240" w:h="15840"/>
      <w:pgMar w:top="1152" w:right="1440" w:bottom="1008"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color w:val="5E6B75"/>
        <w:sz w:val="16"/>
      </w:rPr>
      <w:t>AMN Trace | Propuesta de implementación y MVP | Documento de trabajo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Arial" w:hAnsi="Arial"/>
        <w:b/>
        <w:color w:val="007B83"/>
        <w:sz w:val="16"/>
      </w:rPr>
      <w:t>AMN QUALITY</w:t>
    </w:r>
    <w:r>
      <w:rPr>
        <w:rFonts w:ascii="Arial" w:hAnsi="Arial"/>
        <w:color w:val="5E6B75"/>
        <w:sz w:val="16"/>
      </w:rPr>
      <w:t xml:space="preserve">  /  AMN TRACE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AMN Trace - Propuesta de implementación y MVP</dc:title>
  <dc:subject>Trazabilidad industrial y evidencia de inspección</dc:subject>
  <dc:creator>AMN Quality</dc:creator>
  <cp:keywords/>
  <dc:description>generated by python-docx</dc:description>
  <cp:lastModifiedBy/>
  <cp:revision>1</cp:revision>
  <dcterms:created xsi:type="dcterms:W3CDTF">2013-12-23T23:15:00Z</dcterms:created>
  <dcterms:modified xsi:type="dcterms:W3CDTF">2013-12-23T23:15:00Z</dcterms:modified>
  <cp:category/>
</cp:coreProperties>
</file>