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awesome — I read through all five papers you uploaded and pulled out exactly what you asked for: each author’s goal, how they worked, what datasets they used (and why), pros/cons, the metrics (accuracy/AUC/loss where reported), a quick explainer of the methods, and which approach looks best overall.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cpyb0kcwgp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1) Retinal vasculature → CVD risk (Addanki &amp; Sumathi, 2025)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Goal.</w:t>
      </w:r>
      <w:r w:rsidDel="00000000" w:rsidR="00000000" w:rsidRPr="00000000">
        <w:rPr>
          <w:rtl w:val="0"/>
        </w:rPr>
        <w:t xml:space="preserve"> Use retinal fundus images to quantify biomarkers (AVR, CDR) and predict CVD risk factors (age, gender, BMI, alcohol, smoking) in diabetics/hypertensives (DR/HR), linking eye microvasculature to systemic CVD risk.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Methods.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Vessel/optic-disc/cup segmentation; compute AVR and CDR (with “snake” active contouring to improve disc/cup localization). Parallel segmentation of arteries/veins (PSCAV) to improve AVR.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Grad-CAM to highlight image regions driving predictions; transfer learning with ResNet-50 to predict risk factors jointly.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Datasets &amp; why.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(retinal images with demographic/lifestyle labels) for risk factor prediction — chosen because fundus photos provide non-invasive microvascular markers tied to CVD. IDRiD used to validate CDR segmentation quality (ground truth available).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Results (accuracy/loss).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Mean AUC ≈ </w:t>
      </w:r>
      <w:r w:rsidDel="00000000" w:rsidR="00000000" w:rsidRPr="00000000">
        <w:rPr>
          <w:b w:val="1"/>
          <w:rtl w:val="0"/>
        </w:rPr>
        <w:t xml:space="preserve">0.91</w:t>
      </w:r>
      <w:r w:rsidDel="00000000" w:rsidR="00000000" w:rsidRPr="00000000">
        <w:rPr>
          <w:rtl w:val="0"/>
        </w:rPr>
        <w:t xml:space="preserve"> for five-year CVD risk factors from fundus alone; confusion matrices reported. Fig. shows accuracy/loss curves for CDR prediction (numeric loss not tabulated).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PSCAV reduced AVR RMSE versus no-PSCAV; snake model improved CDR accuracy.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Why this dataset choice.</w:t>
      </w:r>
      <w:r w:rsidDel="00000000" w:rsidR="00000000" w:rsidRPr="00000000">
        <w:rPr>
          <w:rtl w:val="0"/>
        </w:rPr>
        <w:t xml:space="preserve"> Fundus imaging is cheap, fast, and captures microvascular damage linked to DR/HR and CVD; good for scalable screening.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Pros.</w:t>
      </w:r>
      <w:r w:rsidDel="00000000" w:rsidR="00000000" w:rsidRPr="00000000">
        <w:rPr>
          <w:rtl w:val="0"/>
        </w:rPr>
        <w:t xml:space="preserve"> Non-invasive; interpretable vascular biomarkers; transfer learning highlights perivascular regions (biologically plausible).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Cons.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Small labeled sample for risk factors (n≈82 TREND images for Experiment-3); domain shift across cameras/populations not addressed; limited to fundus photos.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Method explainer.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AVR/CDR</w:t>
      </w:r>
      <w:r w:rsidDel="00000000" w:rsidR="00000000" w:rsidRPr="00000000">
        <w:rPr>
          <w:rtl w:val="0"/>
        </w:rPr>
        <w:t xml:space="preserve">: ratios of artery vs vein calibers and cup-to-disc; higher CDR can flag optic nerve changes; abnormal AVR indicates microvascular disease.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Grad-CAM + ResNet-50</w:t>
      </w:r>
      <w:r w:rsidDel="00000000" w:rsidR="00000000" w:rsidRPr="00000000">
        <w:rPr>
          <w:rtl w:val="0"/>
        </w:rPr>
        <w:t xml:space="preserve">: uses last-layer gradients to localize salient regions; ResNet-50 (ImageNet-pretrained) fine-tunes to predict multiple risk labels.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lek3rjyhdji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2) DSMEC stacking ensemble on tabular CVD (Muhtasim et al., 2025)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Goal.</w:t>
      </w:r>
      <w:r w:rsidDel="00000000" w:rsidR="00000000" w:rsidRPr="00000000">
        <w:rPr>
          <w:rtl w:val="0"/>
        </w:rPr>
        <w:t xml:space="preserve"> Boost early CVD risk prediction from large tabular clinical data by stacking many tuned models plus heavy feature engineering.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Methods.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Preprocess: K-S normality checks, imputation, RobustScaler, SMOTE (class balance). Domain features (pulse pressure, MAP, BMI, SBP/DBP ratio), χ² interactions, then PCA (95% variance).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Tier-1: 8 optimized base learners (RF, DT, GB, LightGBM, XGBoost, CatBoost, MLP, ANN). Tier-2: DNN meta-model over base predictions. 5/10-fold CV.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Dataset &amp; why.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Kaggle Cardiovascular Disease dataset (70k rows; demographics, vitals, lifestyle) — big, clean, public benchmark with few missing values; plus UCI Heart Disease for external generalization.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Results (accuracy/AUC/loss).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Kaggle 70k: </w:t>
      </w:r>
      <w:r w:rsidDel="00000000" w:rsidR="00000000" w:rsidRPr="00000000">
        <w:rPr>
          <w:b w:val="1"/>
          <w:rtl w:val="0"/>
        </w:rPr>
        <w:t xml:space="preserve">Accuracy 96.80%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ROC-AUC ≈ 96.25%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Precision 95.66%, Recall 95.75%, Specificity 96.72%, F1 95.68%. Training/validation loss plots show final val-loss ≈ </w:t>
      </w:r>
      <w:r w:rsidDel="00000000" w:rsidR="00000000" w:rsidRPr="00000000">
        <w:rPr>
          <w:b w:val="1"/>
          <w:rtl w:val="0"/>
        </w:rPr>
        <w:t xml:space="preserve">0.0025</w:t>
      </w:r>
      <w:r w:rsidDel="00000000" w:rsidR="00000000" w:rsidRPr="00000000">
        <w:rPr>
          <w:rtl w:val="0"/>
        </w:rPr>
        <w:t xml:space="preserve"> with feature engineering (vs 0.0388 without).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UCI: 5/10-fold accuracy </w:t>
      </w:r>
      <w:r w:rsidDel="00000000" w:rsidR="00000000" w:rsidRPr="00000000">
        <w:rPr>
          <w:b w:val="1"/>
          <w:rtl w:val="0"/>
        </w:rPr>
        <w:t xml:space="preserve">84.61–84.86%</w:t>
      </w:r>
      <w:r w:rsidDel="00000000" w:rsidR="00000000" w:rsidRPr="00000000">
        <w:rPr>
          <w:rtl w:val="0"/>
        </w:rPr>
        <w:t xml:space="preserve">, AUC </w:t>
      </w:r>
      <w:r w:rsidDel="00000000" w:rsidR="00000000" w:rsidRPr="00000000">
        <w:rPr>
          <w:b w:val="1"/>
          <w:rtl w:val="0"/>
        </w:rPr>
        <w:t xml:space="preserve">91.41–91.67%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Why this dataset choice.</w:t>
      </w:r>
      <w:r w:rsidDel="00000000" w:rsidR="00000000" w:rsidRPr="00000000">
        <w:rPr>
          <w:rtl w:val="0"/>
        </w:rPr>
        <w:t xml:space="preserve"> Size/diversity supports complex ensembles; public benchmarks enable fair comparisons.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Pros.</w:t>
      </w:r>
      <w:r w:rsidDel="00000000" w:rsidR="00000000" w:rsidRPr="00000000">
        <w:rPr>
          <w:rtl w:val="0"/>
        </w:rPr>
        <w:t xml:space="preserve"> Top accuracy; robust engineering; strong cross-validation; external dataset tested.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Cons.</w:t>
      </w:r>
      <w:r w:rsidDel="00000000" w:rsidR="00000000" w:rsidRPr="00000000">
        <w:rPr>
          <w:rtl w:val="0"/>
        </w:rPr>
        <w:t xml:space="preserve"> Complexity/compute; potential overfitting risk on single-source data; clinical transportability needs multi-site validation.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Method explainer.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Stacking</w:t>
      </w:r>
      <w:r w:rsidDel="00000000" w:rsidR="00000000" w:rsidRPr="00000000">
        <w:rPr>
          <w:rtl w:val="0"/>
        </w:rPr>
        <w:t xml:space="preserve">: train many diverse base models; feed their outputs to a meta-learner (DNN) that learns when to trust which model; PCA reduces noise &amp; speedups.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wq5hkmeite8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3) HPEM hybrid ensemble with explainability (Al Gharib et al., 2025)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Goal.</w:t>
      </w:r>
      <w:r w:rsidDel="00000000" w:rsidR="00000000" w:rsidRPr="00000000">
        <w:rPr>
          <w:rtl w:val="0"/>
        </w:rPr>
        <w:t xml:space="preserve"> Accurate </w:t>
      </w: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interpretable CVD prediction; combine RF+GB+SVM (soft-vote) with XGBoost meta-learner; use polynomial features + SHAP/LIME explanations.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Methods.</w:t>
      </w:r>
      <w:r w:rsidDel="00000000" w:rsidR="00000000" w:rsidRPr="00000000">
        <w:rPr>
          <w:rtl w:val="0"/>
        </w:rPr>
        <w:t xml:space="preserve"> 2nd-degree polynomial expansion; mutual-information feature selection; stacked ensemble; SHAP/LIME for global/local interpretability; 5-fold CV.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Datasets &amp; why.</w:t>
      </w:r>
      <w:r w:rsidDel="00000000" w:rsidR="00000000" w:rsidRPr="00000000">
        <w:rPr>
          <w:rtl w:val="0"/>
        </w:rPr>
        <w:t xml:space="preserve"> Three public sets: “Heart Dataset,” Kaggle 70k, and an Alternate Heart set — chosen to test generalization across populations.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Results.</w:t>
      </w:r>
      <w:r w:rsidDel="00000000" w:rsidR="00000000" w:rsidRPr="00000000">
        <w:rPr>
          <w:rtl w:val="0"/>
        </w:rPr>
        <w:t xml:space="preserve"> Accuracies </w:t>
      </w:r>
      <w:r w:rsidDel="00000000" w:rsidR="00000000" w:rsidRPr="00000000">
        <w:rPr>
          <w:b w:val="1"/>
          <w:rtl w:val="0"/>
        </w:rPr>
        <w:t xml:space="preserve">91%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88%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89%</w:t>
      </w:r>
      <w:r w:rsidDel="00000000" w:rsidR="00000000" w:rsidRPr="00000000">
        <w:rPr>
          <w:rtl w:val="0"/>
        </w:rPr>
        <w:t xml:space="preserve">; AUC up to </w:t>
      </w:r>
      <w:r w:rsidDel="00000000" w:rsidR="00000000" w:rsidRPr="00000000">
        <w:rPr>
          <w:b w:val="1"/>
          <w:rtl w:val="0"/>
        </w:rPr>
        <w:t xml:space="preserve">0.96</w:t>
      </w:r>
      <w:r w:rsidDel="00000000" w:rsidR="00000000" w:rsidRPr="00000000">
        <w:rPr>
          <w:rtl w:val="0"/>
        </w:rPr>
        <w:t xml:space="preserve">; Kappa &gt;0.79, MCC &gt;0.80; noted tendency toward high variance requiring regularization.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Pros.</w:t>
      </w:r>
      <w:r w:rsidDel="00000000" w:rsidR="00000000" w:rsidRPr="00000000">
        <w:rPr>
          <w:rtl w:val="0"/>
        </w:rPr>
        <w:t xml:space="preserve"> Balanced accuracy + interpretability (feature attributions like cholesterol, angina, age).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Cons.</w:t>
      </w:r>
      <w:r w:rsidDel="00000000" w:rsidR="00000000" w:rsidRPr="00000000">
        <w:rPr>
          <w:rtl w:val="0"/>
        </w:rPr>
        <w:t xml:space="preserve"> Bias-variance analysis flags overfitting risk; model complexity may need tuning (simpler meta-learner, L2).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Method explainer.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Polynomial features</w:t>
      </w:r>
      <w:r w:rsidDel="00000000" w:rsidR="00000000" w:rsidRPr="00000000">
        <w:rPr>
          <w:rtl w:val="0"/>
        </w:rPr>
        <w:t xml:space="preserve"> capture 2-way non-linear interactions; </w:t>
      </w:r>
      <w:r w:rsidDel="00000000" w:rsidR="00000000" w:rsidRPr="00000000">
        <w:rPr>
          <w:b w:val="1"/>
          <w:rtl w:val="0"/>
        </w:rPr>
        <w:t xml:space="preserve">SHAP/LIME</w:t>
      </w:r>
      <w:r w:rsidDel="00000000" w:rsidR="00000000" w:rsidRPr="00000000">
        <w:rPr>
          <w:rtl w:val="0"/>
        </w:rPr>
        <w:t xml:space="preserve"> show which inputs push a prediction up/down at cohort and case level.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rk8rui22t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4) EHR time-series models (LSTM vs CNN vs vanilla RNN)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Goal.</w:t>
      </w:r>
      <w:r w:rsidDel="00000000" w:rsidR="00000000" w:rsidRPr="00000000">
        <w:rPr>
          <w:rtl w:val="0"/>
        </w:rPr>
        <w:t xml:space="preserve"> Predict CVD risk from hospital EHR sequences and compare deep sequence models.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Methods.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Encode ICD-10 codes via embeddings; pool within admission; sequence across admissions into LSTM/CNN/RNN; train with cross-entropy, Adam, dropout. Splits: 70/15/15.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Dataset &amp; why.</w:t>
      </w:r>
      <w:r w:rsidDel="00000000" w:rsidR="00000000" w:rsidRPr="00000000">
        <w:rPr>
          <w:rtl w:val="0"/>
        </w:rPr>
        <w:t xml:space="preserve"> Real EHR from a tertiary hospital (Jan 2020–Dec 2024; n=728 after screening) — rich time-stamped clinical trajectories suitable for sequence models.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Results.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LSTM</w:t>
      </w:r>
      <w:r w:rsidDel="00000000" w:rsidR="00000000" w:rsidRPr="00000000">
        <w:rPr>
          <w:rtl w:val="0"/>
        </w:rPr>
        <w:t xml:space="preserve">: Acc </w:t>
      </w:r>
      <w:r w:rsidDel="00000000" w:rsidR="00000000" w:rsidRPr="00000000">
        <w:rPr>
          <w:b w:val="1"/>
          <w:rtl w:val="0"/>
        </w:rPr>
        <w:t xml:space="preserve">87.3%</w:t>
      </w:r>
      <w:r w:rsidDel="00000000" w:rsidR="00000000" w:rsidRPr="00000000">
        <w:rPr>
          <w:rtl w:val="0"/>
        </w:rPr>
        <w:t xml:space="preserve">, Recall </w:t>
      </w:r>
      <w:r w:rsidDel="00000000" w:rsidR="00000000" w:rsidRPr="00000000">
        <w:rPr>
          <w:b w:val="1"/>
          <w:rtl w:val="0"/>
        </w:rPr>
        <w:t xml:space="preserve">84.7%</w:t>
      </w:r>
      <w:r w:rsidDel="00000000" w:rsidR="00000000" w:rsidRPr="00000000">
        <w:rPr>
          <w:rtl w:val="0"/>
        </w:rPr>
        <w:t xml:space="preserve">, Precision </w:t>
      </w:r>
      <w:r w:rsidDel="00000000" w:rsidR="00000000" w:rsidRPr="00000000">
        <w:rPr>
          <w:b w:val="1"/>
          <w:rtl w:val="0"/>
        </w:rPr>
        <w:t xml:space="preserve">89.2%</w:t>
      </w:r>
      <w:r w:rsidDel="00000000" w:rsidR="00000000" w:rsidRPr="00000000">
        <w:rPr>
          <w:rtl w:val="0"/>
        </w:rPr>
        <w:t xml:space="preserve"> (best).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CNN: Acc </w:t>
      </w:r>
      <w:r w:rsidDel="00000000" w:rsidR="00000000" w:rsidRPr="00000000">
        <w:rPr>
          <w:b w:val="1"/>
          <w:rtl w:val="0"/>
        </w:rPr>
        <w:t xml:space="preserve">~86.7%</w:t>
      </w:r>
      <w:r w:rsidDel="00000000" w:rsidR="00000000" w:rsidRPr="00000000">
        <w:rPr>
          <w:rtl w:val="0"/>
        </w:rPr>
        <w:t xml:space="preserve">, Recall </w:t>
      </w:r>
      <w:r w:rsidDel="00000000" w:rsidR="00000000" w:rsidRPr="00000000">
        <w:rPr>
          <w:b w:val="1"/>
          <w:rtl w:val="0"/>
        </w:rPr>
        <w:t xml:space="preserve">82.3%</w:t>
      </w:r>
      <w:r w:rsidDel="00000000" w:rsidR="00000000" w:rsidRPr="00000000">
        <w:rPr>
          <w:rtl w:val="0"/>
        </w:rPr>
        <w:t xml:space="preserve">, Precision </w:t>
      </w:r>
      <w:r w:rsidDel="00000000" w:rsidR="00000000" w:rsidRPr="00000000">
        <w:rPr>
          <w:b w:val="1"/>
          <w:rtl w:val="0"/>
        </w:rPr>
        <w:t xml:space="preserve">84.9%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RNN: Acc </w:t>
      </w:r>
      <w:r w:rsidDel="00000000" w:rsidR="00000000" w:rsidRPr="00000000">
        <w:rPr>
          <w:b w:val="1"/>
          <w:rtl w:val="0"/>
        </w:rPr>
        <w:t xml:space="preserve">~84.5%</w:t>
      </w:r>
      <w:r w:rsidDel="00000000" w:rsidR="00000000" w:rsidRPr="00000000">
        <w:rPr>
          <w:rtl w:val="0"/>
        </w:rPr>
        <w:t xml:space="preserve">, Recall </w:t>
      </w:r>
      <w:r w:rsidDel="00000000" w:rsidR="00000000" w:rsidRPr="00000000">
        <w:rPr>
          <w:b w:val="1"/>
          <w:rtl w:val="0"/>
        </w:rPr>
        <w:t xml:space="preserve">78.5%</w:t>
      </w:r>
      <w:r w:rsidDel="00000000" w:rsidR="00000000" w:rsidRPr="00000000">
        <w:rPr>
          <w:rtl w:val="0"/>
        </w:rPr>
        <w:t xml:space="preserve">, Precision </w:t>
      </w:r>
      <w:r w:rsidDel="00000000" w:rsidR="00000000" w:rsidRPr="00000000">
        <w:rPr>
          <w:b w:val="1"/>
          <w:rtl w:val="0"/>
        </w:rPr>
        <w:t xml:space="preserve">81.7%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Pros.</w:t>
      </w:r>
      <w:r w:rsidDel="00000000" w:rsidR="00000000" w:rsidRPr="00000000">
        <w:rPr>
          <w:rtl w:val="0"/>
        </w:rPr>
        <w:t xml:space="preserve"> Uses longitudinal patterns; LSTM captures long-term dependencies; practical EHR features.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Cons.</w:t>
      </w:r>
      <w:r w:rsidDel="00000000" w:rsidR="00000000" w:rsidRPr="00000000">
        <w:rPr>
          <w:rtl w:val="0"/>
        </w:rPr>
        <w:t xml:space="preserve"> Single-center; modest sample; interpretability lower than tree models; deployment needs robust coding pipelines.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Method explainer.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LSTM</w:t>
      </w:r>
      <w:r w:rsidDel="00000000" w:rsidR="00000000" w:rsidRPr="00000000">
        <w:rPr>
          <w:rtl w:val="0"/>
        </w:rPr>
        <w:t xml:space="preserve"> remembers long-range dependencies via gated cell state; </w:t>
      </w:r>
      <w:r w:rsidDel="00000000" w:rsidR="00000000" w:rsidRPr="00000000">
        <w:rPr>
          <w:b w:val="1"/>
          <w:rtl w:val="0"/>
        </w:rPr>
        <w:t xml:space="preserve">CNN</w:t>
      </w:r>
      <w:r w:rsidDel="00000000" w:rsidR="00000000" w:rsidRPr="00000000">
        <w:rPr>
          <w:rtl w:val="0"/>
        </w:rPr>
        <w:t xml:space="preserve"> grabs local patterns but weaker for long sequences; vanilla </w:t>
      </w:r>
      <w:r w:rsidDel="00000000" w:rsidR="00000000" w:rsidRPr="00000000">
        <w:rPr>
          <w:b w:val="1"/>
          <w:rtl w:val="0"/>
        </w:rPr>
        <w:t xml:space="preserve">RNN</w:t>
      </w:r>
      <w:r w:rsidDel="00000000" w:rsidR="00000000" w:rsidRPr="00000000">
        <w:rPr>
          <w:rtl w:val="0"/>
        </w:rPr>
        <w:t xml:space="preserve"> suffers vanishing gradients.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0espxesmb7k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5) Gradient Boosting + LIME on Kaggle 70k (Yan et al., 2025)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Goal.</w:t>
      </w:r>
      <w:r w:rsidDel="00000000" w:rsidR="00000000" w:rsidRPr="00000000">
        <w:rPr>
          <w:rtl w:val="0"/>
        </w:rPr>
        <w:t xml:space="preserve"> Build simple, explainable baseline models on the Kaggle CVD dataset; identify key features affecting predictions.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Methods.</w:t>
      </w:r>
      <w:r w:rsidDel="00000000" w:rsidR="00000000" w:rsidRPr="00000000">
        <w:rPr>
          <w:rtl w:val="0"/>
        </w:rPr>
        <w:t xml:space="preserve"> Standard preprocessing (outliers by Z-score, scaling, one-hot); compare linear &amp; tree models; pick best and explain with LIME.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Dataset &amp; why.</w:t>
      </w:r>
      <w:r w:rsidDel="00000000" w:rsidR="00000000" w:rsidRPr="00000000">
        <w:rPr>
          <w:rtl w:val="0"/>
        </w:rPr>
        <w:t xml:space="preserve"> Kaggle 70k — common benchmark enabling clear LIME explanations tied to well-known features (BP, cholesterol, glucose).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Results.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Gradient Boosting</w:t>
      </w:r>
      <w:r w:rsidDel="00000000" w:rsidR="00000000" w:rsidRPr="00000000">
        <w:rPr>
          <w:rtl w:val="0"/>
        </w:rPr>
        <w:t xml:space="preserve"> selected: </w:t>
      </w:r>
      <w:r w:rsidDel="00000000" w:rsidR="00000000" w:rsidRPr="00000000">
        <w:rPr>
          <w:b w:val="1"/>
          <w:rtl w:val="0"/>
        </w:rPr>
        <w:t xml:space="preserve">AUC 0.77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Accuracy 71.2%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Precision 71.9%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Recall 70.0%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F1 70.9%</w:t>
      </w:r>
      <w:r w:rsidDel="00000000" w:rsidR="00000000" w:rsidRPr="00000000">
        <w:rPr>
          <w:rtl w:val="0"/>
        </w:rPr>
        <w:t xml:space="preserve">. LIME shows low cholesterol/BP/glucose decrease predicted risk.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Pros.</w:t>
      </w:r>
      <w:r w:rsidDel="00000000" w:rsidR="00000000" w:rsidRPr="00000000">
        <w:rPr>
          <w:rtl w:val="0"/>
        </w:rPr>
        <w:t xml:space="preserve"> Transparent, fast, easy to deploy; feature attributions are intuitive.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Cons.</w:t>
      </w:r>
      <w:r w:rsidDel="00000000" w:rsidR="00000000" w:rsidRPr="00000000">
        <w:rPr>
          <w:rtl w:val="0"/>
        </w:rPr>
        <w:t xml:space="preserve"> Lower accuracy than advanced ensembles; higher false-negative rate (30%) could be risky clinically.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Method explainer.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Gradient Boosting</w:t>
      </w:r>
      <w:r w:rsidDel="00000000" w:rsidR="00000000" w:rsidRPr="00000000">
        <w:rPr>
          <w:rtl w:val="0"/>
        </w:rPr>
        <w:t xml:space="preserve"> fits many shallow trees sequentially to correct previous errors; </w:t>
      </w:r>
      <w:r w:rsidDel="00000000" w:rsidR="00000000" w:rsidRPr="00000000">
        <w:rPr>
          <w:b w:val="1"/>
          <w:rtl w:val="0"/>
        </w:rPr>
        <w:t xml:space="preserve">LIME</w:t>
      </w:r>
      <w:r w:rsidDel="00000000" w:rsidR="00000000" w:rsidRPr="00000000">
        <w:rPr>
          <w:rtl w:val="0"/>
        </w:rPr>
        <w:t xml:space="preserve"> fits a local surrogate to explain each prediction.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hukh3wbeus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What’s “best” among them?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depends on your goal: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Pure predictive performance (tabular clinic data):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DSMEC</w:t>
      </w:r>
      <w:r w:rsidDel="00000000" w:rsidR="00000000" w:rsidRPr="00000000">
        <w:rPr>
          <w:rtl w:val="0"/>
        </w:rPr>
        <w:t xml:space="preserve"> is the clear winner on the 70k Kaggle data (</w:t>
      </w:r>
      <w:r w:rsidDel="00000000" w:rsidR="00000000" w:rsidRPr="00000000">
        <w:rPr>
          <w:b w:val="1"/>
          <w:rtl w:val="0"/>
        </w:rPr>
        <w:t xml:space="preserve">Acc 96.8%, AUC ~96</w:t>
      </w:r>
      <w:r w:rsidDel="00000000" w:rsidR="00000000" w:rsidRPr="00000000">
        <w:rPr>
          <w:rtl w:val="0"/>
        </w:rPr>
        <w:t xml:space="preserve">) and remains strong on UCI; careful engineering + stacking pays off. Use when you need top accuracy and can afford complexity.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Accuracy + built-in explainability: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HPEM</w:t>
      </w:r>
      <w:r w:rsidDel="00000000" w:rsidR="00000000" w:rsidRPr="00000000">
        <w:rPr>
          <w:rtl w:val="0"/>
        </w:rPr>
        <w:t xml:space="preserve"> trades a bit of accuracy (Acc 88–91%, AUC up to 0.96) for first-class SHAP/LIME insight; good for clinical discussions and audits. Watch regularization.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Sequential EHR settings: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LSTM</w:t>
      </w:r>
      <w:r w:rsidDel="00000000" w:rsidR="00000000" w:rsidRPr="00000000">
        <w:rPr>
          <w:rtl w:val="0"/>
        </w:rPr>
        <w:t xml:space="preserve"> best among sequence models (Acc 87.3%); ideal when longitudinal admissions/events are the signal.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Imaging-only screening: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rtl w:val="0"/>
        </w:rPr>
        <w:t xml:space="preserve">retinal model</w:t>
      </w:r>
      <w:r w:rsidDel="00000000" w:rsidR="00000000" w:rsidRPr="00000000">
        <w:rPr>
          <w:rtl w:val="0"/>
        </w:rPr>
        <w:t xml:space="preserve"> shows promising </w:t>
      </w:r>
      <w:r w:rsidDel="00000000" w:rsidR="00000000" w:rsidRPr="00000000">
        <w:rPr>
          <w:b w:val="1"/>
          <w:rtl w:val="0"/>
        </w:rPr>
        <w:t xml:space="preserve">AUC ~0.91</w:t>
      </w:r>
      <w:r w:rsidDel="00000000" w:rsidR="00000000" w:rsidRPr="00000000">
        <w:rPr>
          <w:rtl w:val="0"/>
        </w:rPr>
        <w:t xml:space="preserve"> from fundus alone; great non-invasive triage but needs larger, diverse cohorts.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Simple &amp; explainable baseline: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Gradient Boosting + LIME</w:t>
      </w:r>
      <w:r w:rsidDel="00000000" w:rsidR="00000000" w:rsidRPr="00000000">
        <w:rPr>
          <w:rtl w:val="0"/>
        </w:rPr>
        <w:t xml:space="preserve"> (AUC 0.77; Acc 71%) is deployable and transparent, but may miss cases (FN 30%).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building one end-to-end system for research: consider </w:t>
      </w:r>
      <w:r w:rsidDel="00000000" w:rsidR="00000000" w:rsidRPr="00000000">
        <w:rPr>
          <w:b w:val="1"/>
          <w:rtl w:val="0"/>
        </w:rPr>
        <w:t xml:space="preserve">DSMEC</w:t>
      </w:r>
      <w:r w:rsidDel="00000000" w:rsidR="00000000" w:rsidRPr="00000000">
        <w:rPr>
          <w:rtl w:val="0"/>
        </w:rPr>
        <w:t xml:space="preserve"> for tabular clinic data, add </w:t>
      </w:r>
      <w:r w:rsidDel="00000000" w:rsidR="00000000" w:rsidRPr="00000000">
        <w:rPr>
          <w:b w:val="1"/>
          <w:rtl w:val="0"/>
        </w:rPr>
        <w:t xml:space="preserve">LSTM</w:t>
      </w:r>
      <w:r w:rsidDel="00000000" w:rsidR="00000000" w:rsidRPr="00000000">
        <w:rPr>
          <w:rtl w:val="0"/>
        </w:rPr>
        <w:t xml:space="preserve"> if you have time-series EHR, and explore </w:t>
      </w:r>
      <w:r w:rsidDel="00000000" w:rsidR="00000000" w:rsidRPr="00000000">
        <w:rPr>
          <w:b w:val="1"/>
          <w:rtl w:val="0"/>
        </w:rPr>
        <w:t xml:space="preserve">retinal imaging</w:t>
      </w:r>
      <w:r w:rsidDel="00000000" w:rsidR="00000000" w:rsidRPr="00000000">
        <w:rPr>
          <w:rtl w:val="0"/>
        </w:rPr>
        <w:t xml:space="preserve"> as an additional, non-invasive front-door screen. For stakeholder trust, borrow </w:t>
      </w:r>
      <w:r w:rsidDel="00000000" w:rsidR="00000000" w:rsidRPr="00000000">
        <w:rPr>
          <w:b w:val="1"/>
          <w:rtl w:val="0"/>
        </w:rPr>
        <w:t xml:space="preserve">SHAP/LIME</w:t>
      </w:r>
      <w:r w:rsidDel="00000000" w:rsidR="00000000" w:rsidRPr="00000000">
        <w:rPr>
          <w:rtl w:val="0"/>
        </w:rPr>
        <w:t xml:space="preserve"> explainability patterns from HPEM.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hp9de6rp2kb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Quick glossary of methods (plain-English)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Stacking (DSMEC/HPEM):</w:t>
      </w:r>
      <w:r w:rsidDel="00000000" w:rsidR="00000000" w:rsidRPr="00000000">
        <w:rPr>
          <w:rtl w:val="0"/>
        </w:rPr>
        <w:t xml:space="preserve"> blend many models’ predictions; a meta-model learns the best combination. Great with diverse learners.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engineering (DSMEC):</w:t>
      </w:r>
      <w:r w:rsidDel="00000000" w:rsidR="00000000" w:rsidRPr="00000000">
        <w:rPr>
          <w:rtl w:val="0"/>
        </w:rPr>
        <w:t xml:space="preserve"> create pulse pressure, MAP, etc.; balance classes (SMOTE); reduce dimensions (PCA) to denoise and speed training.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SHAP/LIME:</w:t>
      </w:r>
      <w:r w:rsidDel="00000000" w:rsidR="00000000" w:rsidRPr="00000000">
        <w:rPr>
          <w:rtl w:val="0"/>
        </w:rPr>
        <w:t xml:space="preserve"> tools that explain which features pushed a prediction higher or lower (global &amp; per-patient views).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LSTM:</w:t>
      </w:r>
      <w:r w:rsidDel="00000000" w:rsidR="00000000" w:rsidRPr="00000000">
        <w:rPr>
          <w:rtl w:val="0"/>
        </w:rPr>
        <w:t xml:space="preserve"> a recurrent net that remembers long-term patterns in sequences (e.g., repeated admissions).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AVR/CDR (retina):</w:t>
      </w:r>
      <w:r w:rsidDel="00000000" w:rsidR="00000000" w:rsidRPr="00000000">
        <w:rPr>
          <w:rtl w:val="0"/>
        </w:rPr>
        <w:t xml:space="preserve"> simple ratios from vessel widths and cup–disc sizes that correlate with microvascular/cardiac risk.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x14hcjrnz1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Want me to turn this into a 1–2 page compare-and-contrast table for your report, with all metrics side-by-side and a section on “why pick which model when”?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