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line="240" w:lineRule="auto"/>
        <w:ind w:right="-40.8661417322827"/>
        <w:rPr>
          <w:rFonts w:ascii="Helvetica Neue" w:cs="Helvetica Neue" w:eastAsia="Helvetica Neue" w:hAnsi="Helvetica Neue"/>
          <w:color w:val="0073cb"/>
        </w:rPr>
      </w:pPr>
      <w:bookmarkStart w:colFirst="0" w:colLast="0" w:name="_vb5nps655vk6" w:id="0"/>
      <w:bookmarkEnd w:id="0"/>
      <w:r w:rsidDel="00000000" w:rsidR="00000000" w:rsidRPr="00000000">
        <w:rPr>
          <w:rFonts w:ascii="Inter SemiBold" w:cs="Inter SemiBold" w:eastAsia="Inter SemiBold" w:hAnsi="Inter SemiBold"/>
          <w:color w:val="f2617a"/>
          <w:rtl w:val="0"/>
        </w:rPr>
        <w:t xml:space="preserve">Playbook Methods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Helvetica Neue Light" w:cs="Helvetica Neue Light" w:eastAsia="Helvetica Neue Light" w:hAnsi="Helvetica Neue Light"/>
          <w:sz w:val="32"/>
          <w:szCs w:val="32"/>
        </w:rPr>
      </w:pPr>
      <w:bookmarkStart w:colFirst="0" w:colLast="0" w:name="_sdcpet4n3dnz" w:id="1"/>
      <w:bookmarkEnd w:id="1"/>
      <w:r w:rsidDel="00000000" w:rsidR="00000000" w:rsidRPr="00000000">
        <w:rPr>
          <w:rFonts w:ascii="Bitter" w:cs="Bitter" w:eastAsia="Bitter" w:hAnsi="Bitter"/>
          <w:b w:val="1"/>
          <w:sz w:val="56"/>
          <w:szCs w:val="56"/>
          <w:rtl w:val="0"/>
        </w:rPr>
        <w:t xml:space="preserve">Front-End 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 Light" w:cs="Helvetica Neue Light" w:eastAsia="Helvetica Neue Light" w:hAnsi="Helvetica Neue Light"/>
          <w:sz w:val="32"/>
          <w:szCs w:val="32"/>
        </w:rPr>
      </w:pPr>
      <w:r w:rsidDel="00000000" w:rsidR="00000000" w:rsidRPr="00000000">
        <w:rPr>
          <w:rFonts w:ascii="Inter SemiBold" w:cs="Inter SemiBold" w:eastAsia="Inter SemiBold" w:hAnsi="Inter SemiBold"/>
          <w:color w:val="003d4f"/>
          <w:sz w:val="30"/>
          <w:szCs w:val="30"/>
          <w:rtl w:val="0"/>
        </w:rPr>
        <w:t xml:space="preserve">Implement the user-facing interface and experience of an application based on UX/UI designs.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Helvetica Neue" w:cs="Helvetica Neue" w:eastAsia="Helvetica Neue" w:hAnsi="Helvetica Neue"/>
          <w:color w:val="6aa84f"/>
          <w:sz w:val="26"/>
          <w:szCs w:val="26"/>
        </w:rPr>
      </w:pPr>
      <w:bookmarkStart w:colFirst="0" w:colLast="0" w:name="_2034j2vde1cq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Remote Agility: 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8"/>
          <w:szCs w:val="28"/>
          <w:highlight w:val="white"/>
          <w:rtl w:val="0"/>
        </w:rPr>
        <w:t xml:space="preserve">•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High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rFonts w:ascii="Helvetica Neue" w:cs="Helvetica Neue" w:eastAsia="Helvetica Neue" w:hAnsi="Helvetica Neue"/>
          <w:sz w:val="26"/>
          <w:szCs w:val="26"/>
        </w:rPr>
      </w:pPr>
      <w:bookmarkStart w:colFirst="0" w:colLast="0" w:name="_fsp3j6e6bdyh" w:id="3"/>
      <w:bookmarkEnd w:id="3"/>
      <w:r w:rsidDel="00000000" w:rsidR="00000000" w:rsidRPr="00000000">
        <w:rPr>
          <w:rFonts w:ascii="Inter" w:cs="Inter" w:eastAsia="Inter" w:hAnsi="Inter"/>
          <w:rtl w:val="0"/>
        </w:rPr>
        <w:t xml:space="preserve">Linked Tactic(s):</w:t>
      </w:r>
      <w:r w:rsidDel="00000000" w:rsidR="00000000" w:rsidRPr="00000000">
        <w:rPr>
          <w:rFonts w:ascii="Inter" w:cs="Inter" w:eastAsia="Inter" w:hAnsi="Inter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Agile Development, Prototyping, UX Design, Visual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vmwznnk3o1zl" w:id="4"/>
      <w:bookmarkEnd w:id="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Why we do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0A">
      <w:pPr>
        <w:ind w:left="0" w:firstLine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Front-End Implementation takes Thoughtworks’ strong product thinking into reality, it is the method by which user interface and user experience designs are turned into a product with which the user interacts.</w:t>
      </w:r>
    </w:p>
    <w:p w:rsidR="00000000" w:rsidDel="00000000" w:rsidP="00000000" w:rsidRDefault="00000000" w:rsidRPr="00000000" w14:paraId="0000000B">
      <w:pPr>
        <w:ind w:left="0" w:firstLine="0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Typical examples of a front-end include websites (or web applications like single-page apps), mobile applications, and desktop applications.</w:t>
      </w:r>
    </w:p>
    <w:p w:rsidR="00000000" w:rsidDel="00000000" w:rsidP="00000000" w:rsidRDefault="00000000" w:rsidRPr="00000000" w14:paraId="0000000D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ci3qls436mg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tiwfpwezsds5" w:id="6"/>
      <w:bookmarkEnd w:id="6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When to apply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When product design calls for a user-facing component</w:t>
      </w:r>
    </w:p>
    <w:p w:rsidR="00000000" w:rsidDel="00000000" w:rsidP="00000000" w:rsidRDefault="00000000" w:rsidRPr="00000000" w14:paraId="00000010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m0576v3s46i8" w:id="7"/>
      <w:bookmarkEnd w:id="7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Best Practices &amp;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Considerations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Accessibility Implementation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While many jurisdictions place requirements around accessibility, it also further diversifies the appeal and utility of an application, and forces a more deep and thorough understanding of how users may interact with an application.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Test-Driven Development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Facilitates automated testing and deployment (see CI/CD)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Improves reliability of software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Encourages well architected software increasing agility by making software easier to understand, change, and extend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Pair Programming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Facilitates Continuous Integration by eliminating the need for branching and code review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Improves reliability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Facilitates knowledge sharing and cross-team collaboration</w:t>
      </w:r>
    </w:p>
    <w:p w:rsidR="00000000" w:rsidDel="00000000" w:rsidP="00000000" w:rsidRDefault="00000000" w:rsidRPr="00000000" w14:paraId="0000001C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br1qsiv1gqc0" w:id="8"/>
      <w:bookmarkEnd w:id="8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Responsible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roles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Software Engineer: these individuals create the tests (see </w:t>
      </w:r>
      <w:hyperlink r:id="rId6">
        <w:r w:rsidDel="00000000" w:rsidR="00000000" w:rsidRPr="00000000">
          <w:rPr>
            <w:rFonts w:ascii="Inter" w:cs="Inter" w:eastAsia="Inter" w:hAnsi="Inter"/>
            <w:u w:val="single"/>
            <w:rtl w:val="0"/>
          </w:rPr>
          <w:t xml:space="preserve">Test-Driven Development</w:t>
        </w:r>
      </w:hyperlink>
      <w:r w:rsidDel="00000000" w:rsidR="00000000" w:rsidRPr="00000000">
        <w:rPr>
          <w:rFonts w:ascii="Inter" w:cs="Inter" w:eastAsia="Inter" w:hAnsi="Inter"/>
          <w:rtl w:val="0"/>
        </w:rPr>
        <w:t xml:space="preserve">) and software that takes designs and user stories into a functional user-facing application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QA Automation Engineer: these individuals apply the </w:t>
      </w:r>
      <w:hyperlink r:id="rId7">
        <w:r w:rsidDel="00000000" w:rsidR="00000000" w:rsidRPr="00000000">
          <w:rPr>
            <w:rFonts w:ascii="Inter" w:cs="Inter" w:eastAsia="Inter" w:hAnsi="Inter"/>
            <w:u w:val="single"/>
            <w:rtl w:val="0"/>
          </w:rPr>
          <w:t xml:space="preserve">Test Automation</w:t>
        </w:r>
      </w:hyperlink>
      <w:r w:rsidDel="00000000" w:rsidR="00000000" w:rsidRPr="00000000">
        <w:rPr>
          <w:rFonts w:ascii="Inter" w:cs="Inter" w:eastAsia="Inter" w:hAnsi="Inter"/>
          <w:rtl w:val="0"/>
        </w:rPr>
        <w:t xml:space="preserve"> method to the front-end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mforaio1kedq" w:id="9"/>
      <w:bookmarkEnd w:id="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Tools: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Online tools/platforms/services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Websites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Databases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Other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A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y3aoarf7bnlm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u4vhoi75ohk1" w:id="11"/>
      <w:bookmarkEnd w:id="11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Thoughtworks Examples - Linked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Client working docs, airtable, miro/mural boards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Client polished presentations/deliverables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Internal assets - clinic materials / guild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2">
      <w:pPr>
        <w:pStyle w:val="Heading2"/>
        <w:rPr>
          <w:rFonts w:ascii="Helvetica Neue" w:cs="Helvetica Neue" w:eastAsia="Helvetica Neue" w:hAnsi="Helvetica Neue"/>
          <w:color w:val="0073cb"/>
        </w:rPr>
      </w:pPr>
      <w:bookmarkStart w:colFirst="0" w:colLast="0" w:name="_nb73pvf7q2z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sz w:val="28"/>
          <w:szCs w:val="28"/>
        </w:rPr>
      </w:pPr>
      <w:bookmarkStart w:colFirst="0" w:colLast="0" w:name="_2xtwfc3oyln9" w:id="13"/>
      <w:bookmarkEnd w:id="13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Learn more: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How we do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 this?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Templates (docs, decks, sheets, miro,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How-To Resources (external or internal)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Outside References (articles, books, etc.)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Sub-set Activities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C">
      <w:pPr>
        <w:ind w:left="72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color w:val="666666"/>
          <w:sz w:val="28"/>
          <w:szCs w:val="28"/>
        </w:rPr>
      </w:pPr>
      <w:bookmarkStart w:colFirst="0" w:colLast="0" w:name="_xrv7z5wzk71" w:id="14"/>
      <w:bookmarkEnd w:id="14"/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80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">
    <w:embedRegular w:fontKey="{00000000-0000-0000-0000-000000000000}" r:id="rId3" w:subsetted="0"/>
    <w:embedBold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Helvetica Neue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spacing w:after="200" w:line="312" w:lineRule="auto"/>
      <w:ind w:right="-40.8661417322827"/>
      <w:jc w:val="right"/>
      <w:rPr/>
    </w:pPr>
    <w:r w:rsidDel="00000000" w:rsidR="00000000" w:rsidRPr="00000000">
      <w:rPr>
        <w:rFonts w:ascii="Inter" w:cs="Inter" w:eastAsia="Inter" w:hAnsi="Inter"/>
        <w:color w:val="999999"/>
        <w:sz w:val="20"/>
        <w:szCs w:val="20"/>
        <w:rtl w:val="0"/>
      </w:rPr>
      <w:t xml:space="preserve">© 2023 Thoughtworks  |  </w:t>
    </w:r>
    <w:r w:rsidDel="00000000" w:rsidR="00000000" w:rsidRPr="00000000">
      <w:rPr>
        <w:rFonts w:ascii="Inter" w:cs="Inter" w:eastAsia="Inter" w:hAnsi="Inter"/>
        <w:color w:val="999999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Style w:val="Subtitle"/>
      <w:spacing w:line="240" w:lineRule="auto"/>
      <w:ind w:right="-40.8661417322827"/>
      <w:rPr/>
    </w:pPr>
    <w:bookmarkStart w:colFirst="0" w:colLast="0" w:name="_9z2trqc4atnb" w:id="15"/>
    <w:bookmarkEnd w:id="15"/>
    <w:r w:rsidDel="00000000" w:rsidR="00000000" w:rsidRPr="00000000">
      <w:rPr>
        <w:rFonts w:ascii="Inter" w:cs="Inter" w:eastAsia="Inter" w:hAnsi="Inter"/>
        <w:color w:val="000000"/>
        <w:sz w:val="18"/>
        <w:szCs w:val="18"/>
        <w:rtl w:val="0"/>
      </w:rPr>
      <w:t xml:space="preserve">Public</w:t>
    </w:r>
    <w:r w:rsidDel="00000000" w:rsidR="00000000" w:rsidRPr="00000000">
      <w:rPr>
        <w:rFonts w:ascii="Inter SemiBold" w:cs="Inter SemiBold" w:eastAsia="Inter SemiBold" w:hAnsi="Inter SemiBold"/>
        <w:color w:val="f2617a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5731478</wp:posOffset>
          </wp:positionH>
          <wp:positionV relativeFrom="page">
            <wp:posOffset>482110</wp:posOffset>
          </wp:positionV>
          <wp:extent cx="1471613" cy="22911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71613" cy="229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0073cb"/>
    </w:rPr>
  </w:style>
  <w:style w:type="paragraph" w:styleId="Heading3">
    <w:name w:val="heading 3"/>
    <w:basedOn w:val="Normal"/>
    <w:next w:val="Normal"/>
    <w:pPr>
      <w:keepNext w:val="1"/>
      <w:keepLines w:val="1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OT82TR7HbvPPfTkn-Ds37QaULahPy5xhk459lylmOPk/edit" TargetMode="External"/><Relationship Id="rId7" Type="http://schemas.openxmlformats.org/officeDocument/2006/relationships/hyperlink" Target="https://docs.google.com/document/d/1HKQP85Qj1gfh9CEhI4To063Hw1pDQlSReSMALOU4Q7A/edit#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HelveticaNeueLight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-regular.ttf"/><Relationship Id="rId4" Type="http://schemas.openxmlformats.org/officeDocument/2006/relationships/font" Target="fonts/Inter-bold.ttf"/><Relationship Id="rId9" Type="http://schemas.openxmlformats.org/officeDocument/2006/relationships/font" Target="fonts/HelveticaNeue-regular.ttf"/><Relationship Id="rId15" Type="http://schemas.openxmlformats.org/officeDocument/2006/relationships/font" Target="fonts/HelveticaNeueLight-italic.ttf"/><Relationship Id="rId14" Type="http://schemas.openxmlformats.org/officeDocument/2006/relationships/font" Target="fonts/HelveticaNeueLight-bold.ttf"/><Relationship Id="rId16" Type="http://schemas.openxmlformats.org/officeDocument/2006/relationships/font" Target="fonts/HelveticaNeueLight-boldItalic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