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 w:line="276"/>
      </w:pPr>
      <w:r>
        <w:rPr>
          <w:rFonts w:ascii="Segoe UI" w:cs="Segoe UI" w:eastAsia="Segoe UI" w:hAnsi="Segoe UI"/>
          <w:b/>
          <w:bCs/>
          <w:color w:val="106EBE"/>
          <w:sz w:val="36"/>
          <w:szCs w:val="36"/>
        </w:rPr>
        <w:t xml:space="preserve">Project Falcon: Next-Gen Cloud Engine Specification</w:t>
      </w: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Document Version: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2.4.0</w:t>
      </w:r>
      <w:r>
        <w:br/>
        <w:t xml:space="preserve">
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Author: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Engineering Architecture Group</w:t>
      </w:r>
      <w:r>
        <w:br/>
        <w:t xml:space="preserve">
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Status: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Approved for Implementation  </w:t>
      </w:r>
    </w:p>
    <w:tbl>
      <w:tblPr>
        <w:tblW w:type="pct" w:w="5000"/>
        <w:tblBorders>
          <w:top w:val="none"/>
          <w:left w:val="single" w:color="0078D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 w:line="26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21"/>
                <w:szCs w:val="21"/>
              </w:rPr>
              <w:t xml:space="preserve">[!NOTE]</w:t>
            </w:r>
            <w:r>
              <w:br/>
              <w:t xml:space="preserve">
</w:t>
            </w:r>
            <w:r>
              <w:rPr>
                <w:rFonts w:ascii="Segoe UI" w:cs="Segoe UI" w:eastAsia="Segoe UI" w:hAnsi="Segoe UI"/>
                <w:i/>
                <w:iCs/>
                <w:color w:val="334155"/>
                <w:sz w:val="21"/>
                <w:szCs w:val="21"/>
              </w:rPr>
              <w:t xml:space="preserve">This specification defines the core architecture, data schemas, and reliability benchmarks for Project Falcon. All diagrams, tables, and code snippets are automatically compiled into official Word (.docx) format.</w:t>
            </w:r>
          </w:p>
        </w:tc>
      </w:tr>
    </w:tbl>
    <w:p>
      <w:pPr>
        <w:spacing w:after="120"/>
      </w:pPr>
    </w:p>
    <w:p>
      <w:pPr>
        <w:pBdr>
          <w:bottom w:val="single" w:color="D2E3F8" w:sz="8" w:space="1"/>
        </w:pBdr>
        <w:spacing w:after="180" w:before="180"/>
      </w:pPr>
    </w:p>
    <w:p>
      <w:pPr>
        <w:pStyle w:val="Heading2"/>
        <w:spacing w:after="120" w:before="240" w:line="276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1. Executive Summary</w:t>
      </w:r>
    </w:p>
    <w:p>
      <w:pPr>
        <w:spacing w:after="140" w:line="276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Project Falcon is a cloud-native real-time event streaming pipeline designed for sub-millisecond data transformation. </w:t>
      </w:r>
    </w:p>
    <w:p>
      <w:pPr>
        <w:pStyle w:val="Heading3"/>
        <w:spacing w:after="120" w:before="240" w:line="276"/>
      </w:pPr>
      <w:r>
        <w:rPr>
          <w:rFonts w:ascii="Segoe UI" w:cs="Segoe UI" w:eastAsia="Segoe UI" w:hAnsi="Segoe UI"/>
          <w:b/>
          <w:bCs/>
          <w:color w:val="2B88D8"/>
          <w:sz w:val="24"/>
          <w:szCs w:val="24"/>
        </w:rPr>
        <w:t xml:space="preserve">Key Deliverables:</w:t>
      </w:r>
    </w:p>
    <w:p>
      <w:pPr>
        <w:spacing w:after="80" w:line="260"/>
        <w:ind w:left="400"/>
      </w:pPr>
      <w:r>
        <w:rPr>
          <w:rFonts w:ascii="Segoe UI" w:cs="Segoe UI" w:eastAsia="Segoe UI" w:hAnsi="Segoe UI"/>
          <w:b/>
          <w:bCs/>
          <w:color w:val="0078D4"/>
          <w:sz w:val="22"/>
          <w:szCs w:val="22"/>
        </w:rPr>
        <w:t xml:space="preserve">•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High Throughput: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Handle 1,000,000+ events per second.</w:t>
      </w:r>
    </w:p>
    <w:p>
      <w:pPr>
        <w:spacing w:after="80" w:line="260"/>
        <w:ind w:left="400"/>
      </w:pPr>
      <w:r>
        <w:rPr>
          <w:rFonts w:ascii="Segoe UI" w:cs="Segoe UI" w:eastAsia="Segoe UI" w:hAnsi="Segoe UI"/>
          <w:b/>
          <w:bCs/>
          <w:color w:val="0078D4"/>
          <w:sz w:val="22"/>
          <w:szCs w:val="22"/>
        </w:rPr>
        <w:t xml:space="preserve">•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Zero Data Loss: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Multi-region consensus mechanism with raft replication.</w:t>
      </w:r>
    </w:p>
    <w:p>
      <w:pPr>
        <w:spacing w:after="80" w:line="260"/>
        <w:ind w:left="400"/>
      </w:pPr>
      <w:r>
        <w:rPr>
          <w:rFonts w:ascii="Segoe UI" w:cs="Segoe UI" w:eastAsia="Segoe UI" w:hAnsi="Segoe UI"/>
          <w:b/>
          <w:bCs/>
          <w:color w:val="0078D4"/>
          <w:sz w:val="22"/>
          <w:szCs w:val="22"/>
        </w:rPr>
        <w:t xml:space="preserve">•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Dynamic Configuration: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Real-time topology adjustments without node restarts.</w:t>
      </w:r>
    </w:p>
    <w:p>
      <w:pPr>
        <w:spacing w:after="80"/>
      </w:pPr>
    </w:p>
    <w:p>
      <w:pPr>
        <w:pBdr>
          <w:bottom w:val="single" w:color="D2E3F8" w:sz="8" w:space="1"/>
        </w:pBdr>
        <w:spacing w:after="180" w:before="180"/>
      </w:pPr>
    </w:p>
    <w:p>
      <w:pPr>
        <w:pStyle w:val="Heading2"/>
        <w:spacing w:after="120" w:before="240" w:line="276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2. Sprint Roadmap &amp; Deliverables</w:t>
      </w:r>
    </w:p>
    <w:p>
      <w:pPr>
        <w:spacing w:after="80" w:line="260"/>
        <w:ind w:left="400"/>
      </w:pPr>
      <w:r>
        <w:rPr>
          <w:rFonts w:ascii="Segoe UI" w:cs="Segoe UI" w:eastAsia="Segoe UI" w:hAnsi="Segoe UI"/>
          <w:b/>
          <w:bCs/>
          <w:color w:val="059669"/>
          <w:sz w:val="22"/>
          <w:szCs w:val="22"/>
        </w:rPr>
        <w:t xml:space="preserve">☑ </w:t>
      </w:r>
      <w:r>
        <w:rPr>
          <w:rFonts w:ascii="Segoe UI" w:cs="Segoe UI" w:eastAsia="Segoe UI" w:hAnsi="Segoe UI"/>
          <w:strike/>
          <w:color w:val="1E293B"/>
          <w:sz w:val="22"/>
          <w:szCs w:val="22"/>
        </w:rPr>
        <w:t xml:space="preserve">Complete preliminary protocol design and validation</w:t>
      </w:r>
    </w:p>
    <w:p>
      <w:pPr>
        <w:spacing w:after="80" w:line="260"/>
        <w:ind w:left="400"/>
      </w:pPr>
      <w:r>
        <w:rPr>
          <w:rFonts w:ascii="Segoe UI" w:cs="Segoe UI" w:eastAsia="Segoe UI" w:hAnsi="Segoe UI"/>
          <w:b/>
          <w:bCs/>
          <w:color w:val="059669"/>
          <w:sz w:val="22"/>
          <w:szCs w:val="22"/>
        </w:rPr>
        <w:t xml:space="preserve">☑ </w:t>
      </w:r>
      <w:r>
        <w:rPr>
          <w:rFonts w:ascii="Segoe UI" w:cs="Segoe UI" w:eastAsia="Segoe UI" w:hAnsi="Segoe UI"/>
          <w:strike/>
          <w:color w:val="1E293B"/>
          <w:sz w:val="22"/>
          <w:szCs w:val="22"/>
        </w:rPr>
        <w:t xml:space="preserve">Implement memory-mapped zero-copy buffer</w:t>
      </w:r>
    </w:p>
    <w:p>
      <w:pPr>
        <w:spacing w:after="80" w:line="260"/>
        <w:ind w:left="400"/>
      </w:pPr>
      <w:r>
        <w:rPr>
          <w:rFonts w:ascii="Segoe UI" w:cs="Segoe UI" w:eastAsia="Segoe UI" w:hAnsi="Segoe UI"/>
          <w:b/>
          <w:bCs/>
          <w:color w:val="059669"/>
          <w:sz w:val="22"/>
          <w:szCs w:val="22"/>
        </w:rPr>
        <w:t xml:space="preserve">☑ </w:t>
      </w:r>
      <w:r>
        <w:rPr>
          <w:rFonts w:ascii="Segoe UI" w:cs="Segoe UI" w:eastAsia="Segoe UI" w:hAnsi="Segoe UI"/>
          <w:strike/>
          <w:color w:val="1E293B"/>
          <w:sz w:val="22"/>
          <w:szCs w:val="22"/>
        </w:rPr>
        <w:t xml:space="preserve">Configure Windows native integration suite</w:t>
      </w:r>
    </w:p>
    <w:p>
      <w:pPr>
        <w:spacing w:after="80" w:line="260"/>
        <w:ind w:left="400"/>
      </w:pPr>
      <w:r>
        <w:rPr>
          <w:rFonts w:ascii="Segoe UI" w:cs="Segoe UI" w:eastAsia="Segoe UI" w:hAnsi="Segoe UI"/>
          <w:b/>
          <w:bCs/>
          <w:color w:val="0078D4"/>
          <w:sz w:val="22"/>
          <w:szCs w:val="22"/>
        </w:rPr>
        <w:t xml:space="preserve">☐ </w:t>
      </w:r>
      <w:r>
        <w:rPr>
          <w:rFonts w:ascii="Segoe UI" w:cs="Segoe UI" w:eastAsia="Segoe UI" w:hAnsi="Segoe UI"/>
          <w:strike w:val="false"/>
          <w:color w:val="1E293B"/>
          <w:sz w:val="22"/>
          <w:szCs w:val="22"/>
        </w:rPr>
        <w:t xml:space="preserve">Conduct multi-node failure injection drills</w:t>
      </w:r>
    </w:p>
    <w:p>
      <w:pPr>
        <w:spacing w:after="80" w:line="260"/>
        <w:ind w:left="400"/>
      </w:pPr>
      <w:r>
        <w:rPr>
          <w:rFonts w:ascii="Segoe UI" w:cs="Segoe UI" w:eastAsia="Segoe UI" w:hAnsi="Segoe UI"/>
          <w:b/>
          <w:bCs/>
          <w:color w:val="0078D4"/>
          <w:sz w:val="22"/>
          <w:szCs w:val="22"/>
        </w:rPr>
        <w:t xml:space="preserve">☐ </w:t>
      </w:r>
      <w:r>
        <w:rPr>
          <w:rFonts w:ascii="Segoe UI" w:cs="Segoe UI" w:eastAsia="Segoe UI" w:hAnsi="Segoe UI"/>
          <w:strike w:val="false"/>
          <w:color w:val="1E293B"/>
          <w:sz w:val="22"/>
          <w:szCs w:val="22"/>
        </w:rPr>
        <w:t xml:space="preserve">Finalize customer sign-off and deployment</w:t>
      </w:r>
    </w:p>
    <w:p>
      <w:pPr>
        <w:spacing w:after="80"/>
      </w:pPr>
    </w:p>
    <w:p>
      <w:pPr>
        <w:pBdr>
          <w:bottom w:val="single" w:color="D2E3F8" w:sz="8" w:space="1"/>
        </w:pBdr>
        <w:spacing w:after="180" w:before="180"/>
      </w:pPr>
    </w:p>
    <w:p>
      <w:pPr>
        <w:pStyle w:val="Heading2"/>
        <w:spacing w:after="120" w:before="240" w:line="276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3. Performance Benchmark Matrix</w:t>
      </w:r>
    </w:p>
    <w:p>
      <w:pPr>
        <w:spacing w:after="140" w:line="276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The following table summarizes response times observed during stress testing across our test environments:</w:t>
      </w:r>
    </w:p>
    <w:tbl>
      <w:tblPr>
        <w:tblW w:type="pct" w:w="5000"/>
        <w:tblBorders>
          <w:top w:val="single" w:color="D2E3F8" w:sz="8"/>
          <w:left w:val="single" w:color="D2E3F8" w:sz="8"/>
          <w:bottom w:val="single" w:color="D2E3F8" w:sz="8"/>
          <w:right w:val="single" w:color="D2E3F8" w:sz="8"/>
          <w:insideH w:val="single" w:color="D2E3F8" w:sz="4"/>
          <w:insideV w:val="single" w:color="D2E3F8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0078D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shd w:fill="0078D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Concurrency</w:t>
            </w:r>
          </w:p>
        </w:tc>
        <w:tc>
          <w:tcPr>
            <w:shd w:fill="0078D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Mean Latency</w:t>
            </w:r>
          </w:p>
        </w:tc>
        <w:tc>
          <w:tcPr>
            <w:shd w:fill="0078D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99th Percentile</w:t>
            </w:r>
          </w:p>
        </w:tc>
        <w:tc>
          <w:tcPr>
            <w:shd w:fill="0078D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Baseline Ping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1,000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0.42 ms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0.88 ms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EFF6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Sustained Write</w:t>
            </w:r>
          </w:p>
        </w:tc>
        <w:tc>
          <w:tcPr>
            <w:shd w:fill="EFF6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50,000</w:t>
            </w:r>
          </w:p>
        </w:tc>
        <w:tc>
          <w:tcPr>
            <w:shd w:fill="EFF6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1.84 ms</w:t>
            </w:r>
          </w:p>
        </w:tc>
        <w:tc>
          <w:tcPr>
            <w:shd w:fill="EFF6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3.20 ms</w:t>
            </w:r>
          </w:p>
        </w:tc>
        <w:tc>
          <w:tcPr>
            <w:shd w:fill="EFF6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Burst Stress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100,000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3.12 ms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6.45 ms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fill="EFF6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Failover Recovery</w:t>
            </w:r>
          </w:p>
        </w:tc>
        <w:tc>
          <w:tcPr>
            <w:shd w:fill="EFF6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50,000</w:t>
            </w:r>
          </w:p>
        </w:tc>
        <w:tc>
          <w:tcPr>
            <w:shd w:fill="EFF6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12.4 ms</w:t>
            </w:r>
          </w:p>
        </w:tc>
        <w:tc>
          <w:tcPr>
            <w:shd w:fill="EFF6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18.2 ms</w:t>
            </w:r>
          </w:p>
        </w:tc>
        <w:tc>
          <w:tcPr>
            <w:shd w:fill="EFF6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40"/>
      </w:pPr>
    </w:p>
    <w:tbl>
      <w:tblPr>
        <w:tblW w:type="pct" w:w="5000"/>
        <w:tblBorders>
          <w:top w:val="none"/>
          <w:left w:val="single" w:color="0078D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 w:line="26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21"/>
                <w:szCs w:val="21"/>
              </w:rPr>
              <w:t xml:space="preserve">[!TIP]</w:t>
            </w:r>
            <w:r>
              <w:br/>
              <w:t xml:space="preserve">
</w:t>
            </w:r>
            <w:r>
              <w:rPr>
                <w:rFonts w:ascii="Segoe UI" w:cs="Segoe UI" w:eastAsia="Segoe UI" w:hAnsi="Segoe UI"/>
                <w:i/>
                <w:iCs/>
                <w:color w:val="334155"/>
                <w:sz w:val="21"/>
                <w:szCs w:val="21"/>
              </w:rPr>
              <w:t xml:space="preserve">Notice how tables in Word retain custom header coloring, clean row padding, and alignment according to the Markdown syntax!</w:t>
            </w:r>
          </w:p>
        </w:tc>
      </w:tr>
    </w:tbl>
    <w:p>
      <w:pPr>
        <w:spacing w:after="120"/>
      </w:pPr>
    </w:p>
    <w:p>
      <w:pPr>
        <w:pBdr>
          <w:bottom w:val="single" w:color="D2E3F8" w:sz="8" w:space="1"/>
        </w:pBdr>
        <w:spacing w:after="180" w:before="180"/>
      </w:pPr>
    </w:p>
    <w:p>
      <w:pPr>
        <w:pStyle w:val="Heading2"/>
        <w:spacing w:after="120" w:before="240" w:line="276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4. Ingestion Worker Implementation</w:t>
      </w:r>
    </w:p>
    <w:p>
      <w:pPr>
        <w:spacing w:after="140" w:line="276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Here is the reference worker loop implemented in TypeScript:</w:t>
      </w:r>
    </w:p>
    <w:tbl>
      <w:tblPr>
        <w:tblW w:type="pct" w:w="5000"/>
        <w:tblBorders>
          <w:top w:val="single" w:color="334155" w:sz="8"/>
          <w:left w:val="single" w:color="0078D4" w:sz="16"/>
          <w:bottom w:val="single" w:color="334155" w:sz="8"/>
          <w:right w:val="single" w:color="334155" w:sz="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onsolas" w:cs="Consolas" w:eastAsia="Consolas" w:hAnsi="Consolas"/>
                <w:b/>
                <w:bCs/>
                <w:color w:val="94A3B8"/>
                <w:sz w:val="16"/>
                <w:szCs w:val="16"/>
              </w:rPr>
              <w:t xml:space="preserve">// [TYPESCRIPT]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import { EventStream, ConsensusNode } from '@falcon/core';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export class IngestionWorker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private active: boolean = false;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constructor(private node: ConsensusNode) {}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public async start(): Promise&lt;void&gt;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  this.active = true;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  console.log(`[Worker] Started on node: ${this.node.id}`);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  while (this.active)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    const batch = await this.node.pollNextBatch(500);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    if (batch.length &gt; 0)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      await this.processBatch(batch);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  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private async processBatch(events: any[]): Promise&lt;void&gt;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  // Process high-throughput payload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  await this.node.commit(events);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F1F5F9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none"/>
          <w:left w:val="single" w:color="0078D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 w:line="26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21"/>
                <w:szCs w:val="21"/>
              </w:rPr>
              <w:t xml:space="preserve">[!WARNING]</w:t>
            </w:r>
            <w:r>
              <w:br/>
              <w:t xml:space="preserve">
</w:t>
            </w:r>
            <w:r>
              <w:rPr>
                <w:rFonts w:ascii="Segoe UI" w:cs="Segoe UI" w:eastAsia="Segoe UI" w:hAnsi="Segoe UI"/>
                <w:i/>
                <w:iCs/>
                <w:color w:val="334155"/>
                <w:sz w:val="21"/>
                <w:szCs w:val="21"/>
              </w:rPr>
              <w:t xml:space="preserve">Ensure that all cluster nodes are configured with synchronized NTP clocks prior to starting the distributed ingestion workers.</w:t>
            </w:r>
          </w:p>
        </w:tc>
      </w:tr>
    </w:tbl>
    <w:p>
      <w:pPr>
        <w:spacing w:after="120"/>
      </w:pPr>
    </w:p>
    <w:p>
      <w:pPr>
        <w:pBdr>
          <w:bottom w:val="single" w:color="D2E3F8" w:sz="8" w:space="1"/>
        </w:pBdr>
        <w:spacing w:after="180" w:before="180"/>
      </w:pPr>
    </w:p>
    <w:p>
      <w:pPr>
        <w:pStyle w:val="Heading2"/>
        <w:spacing w:after="120" w:before="240" w:line="276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5. Architectural Diagram Summary</w:t>
      </w:r>
    </w:p>
    <w:tbl>
      <w:tblPr>
        <w:tblW w:type="pct" w:w="5000"/>
        <w:tblBorders>
          <w:top w:val="none"/>
          <w:left w:val="single" w:color="0078D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 w:line="26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21"/>
                <w:szCs w:val="21"/>
              </w:rPr>
              <w:t xml:space="preserve">"Simplicity is a prerequisite for reliability."</w:t>
            </w:r>
            <w:r>
              <w:br/>
              <w:t xml:space="preserve">
</w:t>
            </w:r>
            <w:r>
              <w:rPr>
                <w:rFonts w:ascii="Segoe UI" w:cs="Segoe UI" w:eastAsia="Segoe UI" w:hAnsi="Segoe UI"/>
                <w:i/>
                <w:iCs/>
                <w:color w:val="334155"/>
                <w:sz w:val="21"/>
                <w:szCs w:val="21"/>
              </w:rPr>
              <w:t xml:space="preserve">— Edsger W. Dijkstra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For questions or feedback regarding this technical specification, reach out to the architecture review board at </w:t>
      </w:r>
      <w:r>
        <w:rPr>
          <w:rFonts w:ascii="Consolas" w:cs="Consolas" w:eastAsia="Consolas" w:hAnsi="Consolas"/>
          <w:color w:val="BE185D"/>
          <w:sz w:val="20"/>
          <w:szCs w:val="20"/>
          <w:shd w:fill="F1F5F9" w:color="auto" w:val="clear"/>
        </w:rPr>
        <w:t xml:space="preserve"> architecture@falcon-cloud.internal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6"/>
        <w:szCs w:val="16"/>
      </w:rPr>
      <w:t xml:space="preserve">Page </w:t>
    </w:r>
    <w:r>
      <w:rPr>
        <w:rFonts w:ascii="Segoe UI" w:cs="Segoe UI" w:eastAsia="Segoe UI" w:hAnsi="Segoe U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6"/>
        <w:szCs w:val="16"/>
      </w:rPr>
      <w:t xml:space="preserve"> of </w:t>
    </w:r>
    <w:r>
      <w:rPr>
        <w:rFonts w:ascii="Segoe UI" w:cs="Segoe UI" w:eastAsia="Segoe UI" w:hAnsi="Segoe UI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94A3B8"/>
        <w:sz w:val="16"/>
        <w:szCs w:val="16"/>
      </w:rPr>
      <w:t xml:space="preserve">Markdown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DOCX Converter</dc:creator>
  <dc:description>Converted from Markdown using React Native Windows Converter</dc:description>
  <cp:lastModifiedBy>Un-named</cp:lastModifiedBy>
  <cp:revision>1</cp:revision>
  <dcterms:created xsi:type="dcterms:W3CDTF">2026-10-15T19:49:30.825Z</dcterms:created>
  <dcterms:modified xsi:type="dcterms:W3CDTF">2026-10-15T19:49:30.830Z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