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280"/>
        <w:ind w:firstLine="0"/>
        <w:jc w:val="center"/>
      </w:pPr>
      <w:r>
        <w:rPr>
          <w:rFonts w:ascii="Times New Roman" w:hAnsi="Times New Roman"/>
          <w:b/>
          <w:sz w:val="34"/>
        </w:rPr>
        <w:t xml:space="preserve">Hybrid Flatness- and Passivity-Based Control with Adaptive RBF Compensation for a 2 MW Direct-Drive PMSG Wind Energy Conversion System</w:t>
      </w:r>
    </w:p>
    <w:p>
      <w:pPr>
        <w:pStyle w:val="BodyText"/>
        <w:spacing w:before="0" w:after="160"/>
        <w:ind w:firstLine="0"/>
        <w:jc w:val="center"/>
      </w:pPr>
      <w:r>
        <w:rPr>
          <w:rFonts w:ascii="Times New Roman" w:hAnsi="Times New Roman"/>
          <w:sz w:val="25"/>
        </w:rPr>
        <w:t xml:space="preserve">Said Regani, Manal Messadi and Karim Kemih*</w:t>
      </w:r>
    </w:p>
    <w:p>
      <w:pPr>
        <w:pStyle w:val="BodyText"/>
        <w:spacing w:before="0" w:after="0"/>
        <w:ind w:firstLine="0"/>
        <w:jc w:val="center"/>
      </w:pPr>
      <w:r>
        <w:rPr>
          <w:rFonts w:ascii="Times New Roman" w:hAnsi="Times New Roman"/>
          <w:sz w:val="19"/>
        </w:rPr>
        <w:t xml:space="preserve">L2EI Laboratory, Jijel University, BP 98, Ouled Aissa, Jijel 18000, Algeria;</w:t>
      </w:r>
    </w:p>
    <w:p>
      <w:pPr>
        <w:pStyle w:val="BodyText"/>
        <w:spacing w:before="0" w:after="0"/>
        <w:ind w:firstLine="0"/>
        <w:jc w:val="center"/>
      </w:pPr>
      <w:r>
        <w:rPr>
          <w:rFonts w:ascii="Times New Roman" w:hAnsi="Times New Roman"/>
          <w:sz w:val="19"/>
        </w:rPr>
        <w:t xml:space="preserve">said.regani@univ-jijel.dz (S.R.); manal.messadi@univ-jijel.dz (M.M.)</w:t>
      </w:r>
    </w:p>
    <w:p>
      <w:pPr>
        <w:pStyle w:val="BodyText"/>
        <w:spacing w:before="0" w:after="0"/>
        <w:ind w:firstLine="0"/>
        <w:jc w:val="center"/>
      </w:pPr>
      <w:r>
        <w:rPr>
          <w:rFonts w:ascii="Times New Roman" w:hAnsi="Times New Roman"/>
          <w:sz w:val="19"/>
        </w:rPr>
        <w:t xml:space="preserve">* Correspondence: karim_kemih@univ-jijel.dz</w:t>
      </w:r>
    </w:p>
    <w:p>
      <w:pPr>
        <w:pStyle w:val="BodyText"/>
        <w:spacing w:before="80" w:after="80"/>
        <w:ind w:firstLine="0"/>
        <w:jc w:val="both"/>
      </w:pPr>
      <w:r>
        <w:rPr>
          <w:b/>
          <w:bCs/>
        </w:rPr>
        <w:t xml:space="preserve">Abstract:</w:t>
      </w:r>
      <w:r>
        <w:t xml:space="preserve"> </w:t>
      </w:r>
      <w:r>
        <w:t xml:space="preserve">This paper proposes a hybrid nonlinear control scheme for a 2 MW direct-drive</w:t>
      </w:r>
      <w:r>
        <w:t xml:space="preserve"> </w:t>
      </w:r>
      <w:r>
        <w:t xml:space="preserve">wind energy conversion system based on a permanent magnet synchronous generator (PMSG) connected to the</w:t>
      </w:r>
      <w:r>
        <w:t xml:space="preserve"> </w:t>
      </w:r>
      <w:r>
        <w:t xml:space="preserve">grid through a back-to-back converter. The scheme combines three layers with distinct roles.</w:t>
      </w:r>
      <w:r>
        <w:t xml:space="preserve"> </w:t>
      </w:r>
      <w:r>
        <w:t xml:space="preserve">Flatness-based control (FBC) generates the references of the rotor speed and of the energy stored in the</w:t>
      </w:r>
      <w:r>
        <w:t xml:space="preserve"> </w:t>
      </w:r>
      <w:r>
        <w:t xml:space="preserve">DC link and in the filter, so that the torque and grid-current references are computed directly from the</w:t>
      </w:r>
      <w:r>
        <w:t xml:space="preserve"> </w:t>
      </w:r>
      <w:r>
        <w:t xml:space="preserve">model. Passivity-based control (PBC) regulates the currents of both converters by energy shaping and</w:t>
      </w:r>
      <w:r>
        <w:t xml:space="preserve"> </w:t>
      </w:r>
      <w:r>
        <w:t xml:space="preserve">damping injection while keeping the workless coupling terms of the machine and of the filter. An adaptive</w:t>
      </w:r>
      <w:r>
        <w:t xml:space="preserve"> </w:t>
      </w:r>
      <w:r>
        <w:t xml:space="preserve">radial basis function (RBF) neural network estimates online the lumped aerodynamic-torque and parameter</w:t>
      </w:r>
      <w:r>
        <w:t xml:space="preserve"> </w:t>
      </w:r>
      <w:r>
        <w:t xml:space="preserve">uncertainty and compensates it in the flat speed law without retuning the nominal gains. A composite</w:t>
      </w:r>
      <w:r>
        <w:t xml:space="preserve"> </w:t>
      </w:r>
      <w:r>
        <w:t xml:space="preserve">Lyapunov analysis shows that all closed-loop signals remain bounded, that the current errors converge to</w:t>
      </w:r>
      <w:r>
        <w:t xml:space="preserve"> </w:t>
      </w:r>
      <w:r>
        <w:t xml:space="preserve">zero, and that the speed error converges to a neighborhood of zero whose size depends on the</w:t>
      </w:r>
      <w:r>
        <w:t xml:space="preserve"> </w:t>
      </w:r>
      <w:r>
        <w:t xml:space="preserve">approximation error of the network. The scheme is evaluated with realistic measurements (sensor noise</w:t>
      </w:r>
      <w:r>
        <w:t xml:space="preserve"> </w:t>
      </w:r>
      <w:r>
        <w:t xml:space="preserve">and grid voltage harmonics) under step wind, random wind, parameter uncertainty and a 50 % grid</w:t>
      </w:r>
      <w:r>
        <w:t xml:space="preserve"> </w:t>
      </w:r>
      <w:r>
        <w:t xml:space="preserve">voltage dip. All controlled variables track their references, the DC-link voltage remains within</w:t>
      </w:r>
      <w:r>
        <w:t xml:space="preserve"> </w:t>
      </w:r>
      <w:r>
        <w:t xml:space="preserve">0.8 % of its reference outside the dip, the grid-current distortion stays below 4 %, and the neural</w:t>
      </w:r>
      <w:r>
        <w:t xml:space="preserve"> </w:t>
      </w:r>
      <w:r>
        <w:t xml:space="preserve">compensation reduces the integral absolute speed error by 26.5 to 44.8 % with the same captured energy.</w:t>
      </w:r>
    </w:p>
    <w:p>
      <w:pPr>
        <w:pStyle w:val="BodyText"/>
        <w:spacing w:before="80" w:after="80"/>
        <w:ind w:firstLine="0"/>
        <w:jc w:val="both"/>
      </w:pPr>
      <w:r>
        <w:rPr>
          <w:b/>
          <w:bCs/>
        </w:rPr>
        <w:t xml:space="preserve">Keywords:</w:t>
      </w:r>
      <w:r>
        <w:t xml:space="preserve"> </w:t>
      </w:r>
      <w:r>
        <w:t xml:space="preserve">wind energy conversion systems; direct-drive PMSG; differential flatness;</w:t>
      </w:r>
      <w:r>
        <w:t xml:space="preserve"> </w:t>
      </w:r>
      <w:r>
        <w:t xml:space="preserve">passivity-based control; adaptive RBF neural network; Lyapunov stability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Wind energy has become one of the main sources of the transition towards low-carbon electricity</w:t>
      </w:r>
      <w:r>
        <w:t xml:space="preserve"> </w:t>
      </w:r>
      <w:r>
        <w:t xml:space="preserve">generation [1, 2, 3]. Among the variable-speed technologies, the</w:t>
      </w:r>
      <w:r>
        <w:t xml:space="preserve"> </w:t>
      </w:r>
      <w:r>
        <w:t xml:space="preserve">permanent magnet synchronous generator (PMSG) based wind energy conversion system (WECS) is a preferred</w:t>
      </w:r>
      <w:r>
        <w:t xml:space="preserve"> </w:t>
      </w:r>
      <w:r>
        <w:t xml:space="preserve">structure for multi-megawatt turbines: in the direct-drive configuration it removes the gearbox, which</w:t>
      </w:r>
      <w:r>
        <w:t xml:space="preserve"> </w:t>
      </w:r>
      <w:r>
        <w:t xml:space="preserve">improves the efficiency and the reliability [4, 5], and its full-scale</w:t>
      </w:r>
      <w:r>
        <w:t xml:space="preserve"> </w:t>
      </w:r>
      <w:r>
        <w:t xml:space="preserve">back-to-back converter decouples the generator from the grid [6]. This structure is, however, a</w:t>
      </w:r>
      <w:r>
        <w:t xml:space="preserve"> </w:t>
      </w:r>
      <w:r>
        <w:t xml:space="preserve">multivariable nonlinear system. The aerodynamic torque depends nonlinearly on the wind speed and on the</w:t>
      </w:r>
      <w:r>
        <w:t xml:space="preserve"> </w:t>
      </w:r>
      <w:r>
        <w:t xml:space="preserve">rotor speed, the electrical dynamics contain speed-dependent couplings, and the system is subject to</w:t>
      </w:r>
      <w:r>
        <w:t xml:space="preserve"> </w:t>
      </w:r>
      <w:r>
        <w:t xml:space="preserve">wind variations, torque disturbances, parameter uncertainty and grid disturbances [7, 8].</w:t>
      </w:r>
    </w:p>
    <w:p>
      <w:pPr>
        <w:pStyle w:val="BodyText"/>
      </w:pPr>
      <w:r>
        <w:t xml:space="preserve">The machine-side converter (MSC) and the grid-side converter (GSC) are usually controlled by cascaded</w:t>
      </w:r>
      <w:r>
        <w:t xml:space="preserve"> </w:t>
      </w:r>
      <w:r>
        <w:t xml:space="preserve">proportional-integral (PI) loops in rotating frames, i.e., field-oriented control</w:t>
      </w:r>
      <w:r>
        <w:t xml:space="preserve"> </w:t>
      </w:r>
      <w:r>
        <w:t xml:space="preserve">(FOC) [9, 10, 11]. These controllers are simple to implement, but</w:t>
      </w:r>
      <w:r>
        <w:t xml:space="preserve"> </w:t>
      </w:r>
      <w:r>
        <w:t xml:space="preserve">they are tuned on a linearized model, so their performance degrades with the nonlinearity and with the</w:t>
      </w:r>
      <w:r>
        <w:t xml:space="preserve"> </w:t>
      </w:r>
      <w:r>
        <w:t xml:space="preserve">variation of the parameters. Nonlinear alternatives have therefore been proposed to improve the tracking,</w:t>
      </w:r>
      <w:r>
        <w:t xml:space="preserve"> </w:t>
      </w:r>
      <w:r>
        <w:t xml:space="preserve">the power quality and the robustness. Sliding mode control (SMC) was applied to wind turbines with an</w:t>
      </w:r>
      <w:r>
        <w:t xml:space="preserve"> </w:t>
      </w:r>
      <w:r>
        <w:t xml:space="preserve">exponential reaching law [12] and, for a chaotic PMSG in an offshore turbine, in a</w:t>
      </w:r>
      <w:r>
        <w:t xml:space="preserve"> </w:t>
      </w:r>
      <w:r>
        <w:t xml:space="preserve">chattering-free terminal form [13]. Backstepping was used at low wind</w:t>
      </w:r>
      <w:r>
        <w:t xml:space="preserve"> </w:t>
      </w:r>
      <w:r>
        <w:t xml:space="preserve">speeds [14], predictive control was applied to a chaotic PMSG [15], and a</w:t>
      </w:r>
      <w:r>
        <w:t xml:space="preserve"> </w:t>
      </w:r>
      <w:r>
        <w:t xml:space="preserve">fuzzy state-feedback control was designed for a fractional-order direct-drive PMSG with uncertain</w:t>
      </w:r>
      <w:r>
        <w:t xml:space="preserve"> </w:t>
      </w:r>
      <w:r>
        <w:t xml:space="preserve">parameters [16].</w:t>
      </w:r>
    </w:p>
    <w:p>
      <w:pPr>
        <w:pStyle w:val="BodyText"/>
      </w:pPr>
      <w:r>
        <w:t xml:space="preserve">Two model-based methods are particularly suited to the structure of the WECS. Differential</w:t>
      </w:r>
      <w:r>
        <w:t xml:space="preserve"> </w:t>
      </w:r>
      <w:r>
        <w:t xml:space="preserve">flatness [17] expresses all the variables of a system from a flat output and its</w:t>
      </w:r>
      <w:r>
        <w:t xml:space="preserve"> </w:t>
      </w:r>
      <w:r>
        <w:t xml:space="preserve">derivatives; it therefore generates the references of the inner variables directly from the desired</w:t>
      </w:r>
      <w:r>
        <w:t xml:space="preserve"> </w:t>
      </w:r>
      <w:r>
        <w:t xml:space="preserve">trajectory, which is valuable during transients and sudden wind changes. Aimene et al. [8]</w:t>
      </w:r>
      <w:r>
        <w:t xml:space="preserve"> </w:t>
      </w:r>
      <w:r>
        <w:t xml:space="preserve">showed that flatness-based control improves the transients of a grid-connected PMSG system with respect</w:t>
      </w:r>
      <w:r>
        <w:t xml:space="preserve"> </w:t>
      </w:r>
      <w:r>
        <w:t xml:space="preserve">to FOC, and Thounthong et al. [18] showed that, with the stored energy as flat output,</w:t>
      </w:r>
      <w:r>
        <w:t xml:space="preserve"> </w:t>
      </w:r>
      <w:r>
        <w:t xml:space="preserve">the DC-bus dynamics become a linear power balance. Passivity-based control (PBC) [19, 20]</w:t>
      </w:r>
      <w:r>
        <w:t xml:space="preserve"> </w:t>
      </w:r>
      <w:r>
        <w:t xml:space="preserve">shapes the energy of the closed loop and injects damping while keeping the physical, workless couplings</w:t>
      </w:r>
      <w:r>
        <w:t xml:space="preserve"> </w:t>
      </w:r>
      <w:r>
        <w:t xml:space="preserve">instead of cancelling them, which gives a robust current control with a clear energy interpretation.</w:t>
      </w:r>
      <w:r>
        <w:t xml:space="preserve"> </w:t>
      </w:r>
      <w:r>
        <w:t xml:space="preserve">Both methods use a model, and their weak point is the aerodynamic torque, which is not measured, and the</w:t>
      </w:r>
      <w:r>
        <w:t xml:space="preserve"> </w:t>
      </w:r>
      <w:r>
        <w:t xml:space="preserve">parameters of the generator.</w:t>
      </w:r>
    </w:p>
    <w:p>
      <w:pPr>
        <w:pStyle w:val="BodyText"/>
      </w:pPr>
      <w:r>
        <w:t xml:space="preserve">Learning-based approximators can address this weak point. RBF networks are universal</w:t>
      </w:r>
      <w:r>
        <w:t xml:space="preserve"> </w:t>
      </w:r>
      <w:r>
        <w:t xml:space="preserve">approximators [21] whose weights can be adapted online by a Lyapunov-based</w:t>
      </w:r>
      <w:r>
        <w:t xml:space="preserve"> </w:t>
      </w:r>
      <w:r>
        <w:t xml:space="preserve">law [22, 23]. They were combined with terminal sliding mode control [24], with</w:t>
      </w:r>
      <w:r>
        <w:t xml:space="preserve"> </w:t>
      </w:r>
      <w:r>
        <w:t xml:space="preserve">observer-based adaptive control [25] and with data-driven tuning under real wind</w:t>
      </w:r>
      <w:r>
        <w:t xml:space="preserve"> </w:t>
      </w:r>
      <w:r>
        <w:t xml:space="preserve">profiles [26]. In our previous work [27], an adaptive neural network</w:t>
      </w:r>
      <w:r>
        <w:t xml:space="preserve"> </w:t>
      </w:r>
      <w:r>
        <w:t xml:space="preserve">compensated the residual tracking error of a nonlinear state-feedback controller without retuning its</w:t>
      </w:r>
      <w:r>
        <w:t xml:space="preserve"> </w:t>
      </w:r>
      <w:r>
        <w:t xml:space="preserve">gains, but measurement noise and grid disturbances were not considered. To the authors’ knowledge, a</w:t>
      </w:r>
      <w:r>
        <w:t xml:space="preserve"> </w:t>
      </w:r>
      <w:r>
        <w:t xml:space="preserve">scheme in which flatness generates the references, PBC guarantees the energy structure and the damping of</w:t>
      </w:r>
      <w:r>
        <w:t xml:space="preserve"> </w:t>
      </w:r>
      <w:r>
        <w:t xml:space="preserve">the current loops of both converters, and an adaptive RBF network compensates the uncertainty, evaluated</w:t>
      </w:r>
      <w:r>
        <w:t xml:space="preserve"> </w:t>
      </w:r>
      <w:r>
        <w:t xml:space="preserve">under realistic measurements and grid disturbances, has not been reported for a multi-megawatt</w:t>
      </w:r>
      <w:r>
        <w:t xml:space="preserve"> </w:t>
      </w:r>
      <w:r>
        <w:t xml:space="preserve">direct-drive PMSG.</w:t>
      </w:r>
    </w:p>
    <w:p>
      <w:pPr>
        <w:pStyle w:val="BodyText"/>
      </w:pPr>
      <w:r>
        <w:t xml:space="preserve">The main contributions of this work are as follows: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Flatness-based reference generation:</w:t>
      </w:r>
      <w:r>
        <w:t xml:space="preserve"> </w:t>
      </w:r>
      <w:r>
        <w:t xml:space="preserve">the rotor speed and the energy of the DC link and of</w:t>
      </w:r>
      <w:r>
        <w:t xml:space="preserve"> </w:t>
      </w:r>
      <w:r>
        <w:t xml:space="preserve">the filter are used as flat outputs; the torque and grid-current references are computed directly from</w:t>
      </w:r>
      <w:r>
        <w:t xml:space="preserve"> </w:t>
      </w:r>
      <w:r>
        <w:t xml:space="preserve">the model, and the DC-link dynamics become a linear power balance.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Passivity-based inner control:</w:t>
      </w:r>
      <w:r>
        <w:t xml:space="preserve"> </w:t>
      </w:r>
      <w:r>
        <w:t xml:space="preserve">the currents of both converters are controlled by energy</w:t>
      </w:r>
      <w:r>
        <w:t xml:space="preserve"> </w:t>
      </w:r>
      <w:r>
        <w:t xml:space="preserve">shaping and damping injection, with a storage function that proves the convergence of the current errors.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Adaptive RBF compensation:</w:t>
      </w:r>
      <w:r>
        <w:t xml:space="preserve"> </w:t>
      </w:r>
      <w:r>
        <w:t xml:space="preserve">an RBF network estimates online the lumped aerodynamic-torque and</w:t>
      </w:r>
      <w:r>
        <w:t xml:space="preserve"> </w:t>
      </w:r>
      <w:r>
        <w:t xml:space="preserve">parameter uncertainty and compensates it in the flat speed law, with the nominal gains unchanged.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Composite Lyapunov stability analysis:</w:t>
      </w:r>
      <w:r>
        <w:t xml:space="preserve"> </w:t>
      </w:r>
      <w:r>
        <w:t xml:space="preserve">the boundedness of all closed-loop signals and the</w:t>
      </w:r>
      <w:r>
        <w:t xml:space="preserve"> </w:t>
      </w:r>
      <w:r>
        <w:t xml:space="preserve">convergence of the tracking errors to a neighborhood of zero are proved.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Realistic numerical validation:</w:t>
      </w:r>
      <w:r>
        <w:t xml:space="preserve"> </w:t>
      </w:r>
      <w:r>
        <w:t xml:space="preserve">the scheme is evaluated with sensor noise and grid harmonics</w:t>
      </w:r>
      <w:r>
        <w:t xml:space="preserve"> </w:t>
      </w:r>
      <w:r>
        <w:t xml:space="preserve">under step wind, random wind, parameter uncertainty and a grid voltage dip, without and with the neural</w:t>
      </w:r>
      <w:r>
        <w:t xml:space="preserve"> </w:t>
      </w:r>
      <w:r>
        <w:t xml:space="preserve">compensation.</w:t>
      </w:r>
    </w:p>
    <w:p>
      <w:pPr>
        <w:pStyle w:val="FirstParagraph"/>
      </w:pPr>
      <w:r>
        <w:t xml:space="preserve">The paper is organized as follows. Section 2 describes and models the system. Section 3 states the</w:t>
      </w:r>
      <w:r>
        <w:t xml:space="preserve"> </w:t>
      </w:r>
      <w:r>
        <w:t xml:space="preserve">control objectives and the MPPT strategy. Sections 4, 5 and 6 present the flatness-based reference</w:t>
      </w:r>
      <w:r>
        <w:t xml:space="preserve"> </w:t>
      </w:r>
      <w:r>
        <w:t xml:space="preserve">generation, the passivity-based inner control and the adaptive RBF compensation. Section 7 analyzes the</w:t>
      </w:r>
      <w:r>
        <w:t xml:space="preserve"> </w:t>
      </w:r>
      <w:r>
        <w:t xml:space="preserve">stability. Section 8 presents and discusses the simulation results, and Section 9 concludes the paper.</w:t>
      </w:r>
    </w:p>
    <w:bookmarkEnd w:id="20"/>
    <w:bookmarkStart w:id="27" w:name="system-description-and-modeling"/>
    <w:p>
      <w:pPr>
        <w:pStyle w:val="Heading1"/>
      </w:pPr>
      <w:r>
        <w:t xml:space="preserve">2. System Description and Modeling</w:t>
      </w:r>
    </w:p>
    <w:bookmarkStart w:id="21" w:name="system-configuration"/>
    <w:p>
      <w:pPr>
        <w:pStyle w:val="Heading2"/>
      </w:pPr>
      <w:r>
        <w:t xml:space="preserve">2.1. System Configuration</w:t>
      </w:r>
    </w:p>
    <w:p>
      <w:pPr>
        <w:pStyle w:val="FirstParagraph"/>
      </w:pPr>
      <w:r>
        <w:t xml:space="preserve">The overall configuration of the studied system is shown in Figure 1. The wind turbine</w:t>
      </w:r>
      <w:r>
        <w:t xml:space="preserve"> </w:t>
      </w:r>
      <w:r>
        <w:t xml:space="preserve">drives the PMSG directly, without gearbox. The MSC rectifies the generator voltages and controls the</w:t>
      </w:r>
      <w:r>
        <w:t xml:space="preserve"> </w:t>
      </w:r>
      <w:r>
        <w:t xml:space="preserve">generator currents, the DC link decouples the two converters, and the GSC injects the power into the</w:t>
      </w:r>
      <w:r>
        <w:t xml:space="preserve"> </w:t>
      </w:r>
      <w:r>
        <w:t xml:space="preserve">690 V, 50 Hz grid through 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filter. The parameters are given in Table 1.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4320000" cy="1565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6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1.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Overall configuration of the 2 MW direct-drive PMSG wind energy conversion system.</w:t>
      </w:r>
    </w:p>
    <w:bookmarkEnd w:id="21"/>
    <w:bookmarkStart w:id="22" w:name="wind-turbine-aerodynamics"/>
    <w:p>
      <w:pPr>
        <w:pStyle w:val="Heading2"/>
      </w:pPr>
      <w:r>
        <w:t xml:space="preserve">2.2. Wind Turbine Aerodynamics</w:t>
      </w:r>
    </w:p>
    <w:p>
      <w:pPr>
        <w:pStyle w:val="FirstParagraph"/>
      </w:pPr>
      <w:r>
        <w:t xml:space="preserve">The tip-speed ratio, the mechanical power and the aerodynamic torque are [29, 8]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Ω</m:t>
                    </m:r>
                    <m:r>
                      <m:t>R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ρ</m:t>
                </m:r>
                <m:r>
                  <m:t>π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p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 </m:t>
                </m:r>
                <m:sSup>
                  <m:e>
                    <m:r>
                      <m:t>v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num>
                  <m:den>
                    <m:r>
                      <m:t>Ω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the air density,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 rotor radius,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the wind speed,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the rotor speed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pitch angle. The power coefficient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0.5176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116</m:t>
                        </m:r>
                      </m:num>
                      <m:den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0.4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0.0068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λ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0.08</m:t>
                    </m:r>
                    <m:r>
                      <m:t>β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0.035</m:t>
                    </m:r>
                  </m:num>
                  <m:den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(2)</w:t>
            </w:r>
          </w:p>
        </w:tc>
      </w:tr>
    </w:tbl>
    <w:p>
      <w:pPr>
        <w:pStyle w:val="BodyText"/>
        <w:ind w:firstLine="0"/>
      </w:pPr>
      <w:r>
        <w:t xml:space="preserve">For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reaches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0.48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t>8.1</m:t>
        </m:r>
      </m:oMath>
      <w:r>
        <w:t xml:space="preserve">. For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 MW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40</m:t>
        </m:r>
      </m:oMath>
      <w:r>
        <w:t xml:space="preserve"> m, the</w:t>
      </w:r>
      <w:r>
        <w:t xml:space="preserve"> </w:t>
      </w:r>
      <w:r>
        <w:t xml:space="preserve">rated wind speed given by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ρ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sSubSup>
          <m:e>
            <m:r>
              <m:t>v</m:t>
            </m:r>
          </m:e>
          <m:sub>
            <m:r>
              <m:t>n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11.0</m:t>
        </m:r>
      </m:oMath>
      <w:r>
        <w:t xml:space="preserve"> m/s, the rated speed is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rPr>
                <m:sty m:val="p"/>
              </m:rPr>
              <m:t>⋆</m:t>
            </m:r>
          </m:sup>
        </m:sSup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2.23</m:t>
        </m:r>
      </m:oMath>
      <w:r>
        <w:t xml:space="preserve"> rad/s and the rated torque is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0.897</m:t>
        </m:r>
      </m:oMath>
      <w:r>
        <w:t xml:space="preserve"> MN</w:t>
      </w:r>
      <m:oMath>
        <m:r>
          <m:rPr>
            <m:sty m:val="p"/>
          </m:rPr>
          <m:t>⋅</m:t>
        </m:r>
      </m:oMath>
      <w:r>
        <w:t xml:space="preserve">m.</w:t>
      </w:r>
      <w:r>
        <w:t xml:space="preserve"> </w:t>
      </w:r>
      <w:r>
        <w:t xml:space="preserve">Since the wind remains below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this study, the pitch angle is kept at zero.</w:t>
      </w:r>
    </w:p>
    <w:bookmarkEnd w:id="22"/>
    <w:bookmarkStart w:id="23" w:name="pmsg-model-in-the-dq-frame"/>
    <w:p>
      <w:pPr>
        <w:pStyle w:val="Heading2"/>
      </w:pPr>
      <w:r>
        <w:t xml:space="preserve">2.3. PMSG Model in the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t xml:space="preserve">Frame</w:t>
      </w:r>
    </w:p>
    <w:p>
      <w:pPr>
        <w:pStyle w:val="FirstParagraph"/>
      </w:pPr>
      <w:r>
        <w:t xml:space="preserve">In the rotor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t xml:space="preserve">frame (amplitude-invariant transformation,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axis aligned with the magnet flux),</w:t>
      </w:r>
      <w:r>
        <w:t xml:space="preserve"> </w:t>
      </w:r>
      <w:r>
        <w:t xml:space="preserve">with the receptor convention and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 [8],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s</m:t>
                        </m:r>
                        <m:r>
                          <m:t>d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(3)</w:t>
            </w:r>
          </w:p>
        </w:tc>
      </w:tr>
    </w:tbl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s</m:t>
                        </m:r>
                        <m:r>
                          <m:t>q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ψ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(4)</w:t>
            </w:r>
          </w:p>
        </w:tc>
      </w:tr>
    </w:tbl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t>p</m:t>
                </m:r>
                <m:r>
                  <m:t> </m:t>
                </m:r>
                <m:sSub>
                  <m:e>
                    <m:r>
                      <m:t>ψ</m:t>
                    </m:r>
                  </m:e>
                  <m:sub>
                    <m:r>
                      <m:t>f</m:t>
                    </m:r>
                  </m:sub>
                </m:sSub>
                <m:r>
                  <m:t> </m:t>
                </m:r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(5)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b>
          <m:e>
            <m:r>
              <m:t>ω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p</m:t>
        </m:r>
        <m:r>
          <m:t>Ω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pole pairs and</w:t>
      </w:r>
      <w:r>
        <w:t xml:space="preserve"> </w:t>
      </w:r>
      <m:oMath>
        <m:sSub>
          <m:e>
            <m:r>
              <m:t>ψ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the magnet flux;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in generating mode. With</w:t>
      </w:r>
      <w:r>
        <w:t xml:space="preserve"> </w:t>
      </w:r>
      <m:oMath>
        <m:sSub>
          <m:e>
            <m:r>
              <m:rPr>
                <m:sty m:val="b"/>
              </m:rP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t> </m:t>
                </m:r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t> </m:t>
                </m:r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t> 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and the skew-symmetric matrix</w:t>
      </w:r>
      <w:r>
        <w:t xml:space="preserve"> </w:t>
      </w:r>
      <m:oMath>
        <m:r>
          <m:rPr>
            <m:scr m:val="script"/>
            <m:sty m:val="p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acc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cr m:val="script"/>
                    <m:sty m:val="p"/>
                  </m:rPr>
                  <m:t>J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ψ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(6)</w:t>
            </w:r>
          </w:p>
        </w:tc>
      </w:tr>
    </w:tbl>
    <w:p>
      <w:pPr>
        <w:pStyle w:val="BodyText"/>
        <w:ind w:firstLine="0"/>
      </w:pPr>
      <w:r>
        <w:t xml:space="preserve">The generator data are those of the non-salient 2 MW PMSG of [28].</w:t>
      </w:r>
    </w:p>
    <w:bookmarkEnd w:id="23"/>
    <w:bookmarkStart w:id="24" w:name="drive-train"/>
    <w:p>
      <w:pPr>
        <w:pStyle w:val="Heading2"/>
      </w:pPr>
      <w:r>
        <w:t xml:space="preserve">2.4. Drive Train</w:t>
      </w:r>
    </w:p>
    <w:p>
      <w:pPr>
        <w:pStyle w:val="FirstParagraph"/>
      </w:pPr>
      <w:r>
        <w:t xml:space="preserve">The direct-drive shaft is described by the one-mass model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J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Ω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Ω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(7)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total inertia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friction coefficient.</w:t>
      </w:r>
    </w:p>
    <w:bookmarkEnd w:id="24"/>
    <w:bookmarkStart w:id="25" w:name="dc-link-and-grid-side"/>
    <w:p>
      <w:pPr>
        <w:pStyle w:val="Heading2"/>
      </w:pPr>
      <w:r>
        <w:t xml:space="preserve">2.5. DC Link and Grid Side</w:t>
      </w:r>
    </w:p>
    <w:p>
      <w:pPr>
        <w:pStyle w:val="FirstParagraph"/>
      </w:pPr>
      <w:r>
        <w:t xml:space="preserve">The converters are represented by their average model, with voltage vectors limited to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  <w:r>
        <w:t xml:space="preserve"> </w:t>
      </w:r>
      <w:r>
        <w:t xml:space="preserve">The DC-link voltage obeys [8]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C</m:t>
                </m:r>
                <m:sSub>
                  <m:e>
                    <m:r>
                      <m:t>V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d</m:t>
                        </m:r>
                        <m:r>
                          <m:t>c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s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i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(8)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GSC voltage and</w:t>
      </w:r>
      <w:r>
        <w:t xml:space="preserve"> </w:t>
      </w:r>
      <m:oMath>
        <m:sSub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the grid current. In the grid-voltage-oriented frame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g</m:t>
            </m:r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with the current counted towards the grid,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acc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g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cr m:val="script"/>
                    <m:sty m:val="p"/>
                  </m:rPr>
                  <m:t>J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(9)</w:t>
            </w:r>
          </w:p>
        </w:tc>
      </w:tr>
    </w:tbl>
    <w:p>
      <w:pPr>
        <w:pStyle w:val="BodyText"/>
        <w:ind w:firstLine="0"/>
      </w:pPr>
      <w:r>
        <w:t xml:space="preserve">and the grid powers are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v</m:t>
            </m:r>
          </m:e>
          <m:sub>
            <m:r>
              <m:t>g</m:t>
            </m:r>
            <m:r>
              <m:t>d</m:t>
            </m:r>
          </m:sub>
        </m:sSub>
        <m:sSub>
          <m:e>
            <m:r>
              <m:t>i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v</m:t>
            </m:r>
          </m:e>
          <m:sub>
            <m:r>
              <m:t>g</m:t>
            </m:r>
            <m:r>
              <m:t>d</m:t>
            </m:r>
          </m:sub>
        </m:sSub>
        <m:sSub>
          <m:e>
            <m:r>
              <m:t>i</m:t>
            </m:r>
          </m:e>
          <m:sub>
            <m:r>
              <m:t>g</m:t>
            </m:r>
            <m:r>
              <m:t>q</m:t>
            </m:r>
          </m:sub>
        </m:sSub>
      </m:oMath>
      <w:r>
        <w:t xml:space="preserve">.</w:t>
      </w:r>
    </w:p>
    <w:bookmarkEnd w:id="25"/>
    <w:bookmarkStart w:id="26" w:name="energy-balance"/>
    <w:p>
      <w:pPr>
        <w:pStyle w:val="Heading2"/>
      </w:pPr>
      <w:r>
        <w:t xml:space="preserve">2.6. Energy Balance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J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i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bSup>
          <m:e>
            <m:r>
              <m:t>V</m:t>
            </m:r>
          </m:e>
          <m:sub>
            <m:r>
              <m:t>d</m:t>
            </m:r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and since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t>T</m:t>
            </m:r>
          </m:sup>
        </m:sSup>
        <m:r>
          <m:rPr>
            <m:scr m:val="script"/>
            <m:sty m:val="p"/>
          </m:rPr>
          <m:t>J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ω</m:t>
            </m:r>
          </m:e>
          <m:sub>
            <m:r>
              <m:t>e</m:t>
            </m:r>
          </m:sub>
        </m:sSub>
        <m:sSub>
          <m:e>
            <m:r>
              <m:t>ψ</m:t>
            </m:r>
          </m:e>
          <m:sub>
            <m:r>
              <m:t>f</m:t>
            </m:r>
          </m:sub>
        </m:sSub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</m:oMath>
      <w:r>
        <w:t xml:space="preserve">, the model (1)–(9)</w:t>
      </w:r>
      <w:r>
        <w:t xml:space="preserve"> </w:t>
      </w:r>
      <w:r>
        <w:t xml:space="preserve">gives, for any state and any converter voltages,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̇"/>
                  </m:accPr>
                  <m:e>
                    <m:r>
                      <m:t>E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B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(10)</w:t>
            </w:r>
          </w:p>
        </w:tc>
      </w:tr>
    </w:tbl>
    <w:p>
      <w:pPr>
        <w:pStyle w:val="BodyText"/>
        <w:ind w:firstLine="0"/>
      </w:pPr>
      <w:r>
        <w:t xml:space="preserve">This balance verifies the sign of every term of the model; its numerical residual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 It also shows the energy structure used by the PBC design of Section 5.</w:t>
      </w:r>
    </w:p>
    <w:p>
      <w:pPr>
        <w:pStyle w:val="BodyText"/>
        <w:keepNext/>
        <w:spacing w:before="200" w:after="8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Table 1.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Parameters of the studied system and of the simulation.</w:t>
      </w:r>
    </w:p>
    <w:tbl>
      <w:tblPr>
        <w:tblStyle w:val="Table"/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1741"/>
        <w:gridCol w:w="2749"/>
        <w:gridCol w:w="3115"/>
        <w:gridCol w:w="1466"/>
      </w:tblGrid>
      <w:tr>
        <w:trPr>
          <w:tblHeader w:val="true"/>
          <w:cantSplit/>
        </w:trPr>
        <w:tc>
          <w:tcPr>
            <w:tcW w:type="dxa" w:w="1741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Group</w:t>
            </w:r>
          </w:p>
        </w:tc>
        <w:tc>
          <w:tcPr>
            <w:tcW w:type="dxa" w:w="2749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Parameter</w:t>
            </w:r>
          </w:p>
        </w:tc>
        <w:tc>
          <w:tcPr>
            <w:tcW w:type="dxa" w:w="3115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  <w:tc>
          <w:tcPr>
            <w:tcW w:type="dxa" w:w="1466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Turbine</w:t>
            </w: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rotor radius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R</m:t>
              </m:r>
            </m:oMath>
            <w:r>
              <w:rPr>
                <w:rFonts w:ascii="Times New Roman" w:hAnsi="Times New Roman"/>
                <w:sz w:val="20"/>
              </w:rPr>
              <w:t xml:space="preserve">, air density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ρ</m:t>
              </m:r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40 m, 1.225 kg/m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3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[7, 8]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pitch angle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model</w:t>
            </w:r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 (2)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[29]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0.48, 8.1, 11.0 m/s, 2.23 rad/s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(1)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PMSG</w:t>
            </w: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rated power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, pole pairs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p</m:t>
              </m:r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MW, 26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[28]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0.78 m</w:t>
            </w:r>
            <m:oMath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, 1.57 mH, 9.18 Wb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[28]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inertia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J</m:t>
              </m:r>
            </m:oMath>
            <w:r>
              <w:rPr>
                <w:rFonts w:ascii="Times New Roman" w:hAnsi="Times New Roman"/>
                <w:sz w:val="20"/>
              </w:rPr>
              <w:t xml:space="preserve">, friction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B</m:t>
              </m:r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kg</w:t>
            </w:r>
            <m:oMath>
              <m:r>
                <m:rPr>
                  <m:sty m:val="p"/>
                </m:rPr>
                <m:t>⋅</m:t>
              </m:r>
            </m:oMath>
            <w:r>
              <w:rPr>
                <w:rFonts w:ascii="Times New Roman" w:hAnsi="Times New Roman"/>
                <w:sz w:val="20"/>
              </w:rPr>
              <w:t xml:space="preserve">m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N</w:t>
            </w:r>
            <m:oMath>
              <m:r>
                <m:rPr>
                  <m:sty m:val="p"/>
                </m:rPr>
                <m:t>⋅</m:t>
              </m:r>
            </m:oMath>
            <w:r>
              <w:rPr>
                <w:rFonts w:ascii="Times New Roman" w:hAnsi="Times New Roman"/>
                <w:sz w:val="20"/>
              </w:rPr>
              <w:t xml:space="preserve">m</w:t>
            </w:r>
            <m:oMath>
              <m:r>
                <m:rPr>
                  <m:sty m:val="p"/>
                </m:rPr>
                <m:t>⋅</m:t>
              </m:r>
            </m:oMath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DC link and grid</w:t>
            </w: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C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 mF, 1200 V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[28]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0.15 mH, 2 m</w:t>
            </w:r>
            <m:oMath>
              <m:r>
                <m:t>Ω</m:t>
              </m:r>
            </m:oMath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[28], assumed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(line-to-line rms),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690 V,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t>50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[28]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Simulation setup</w:t>
            </w: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switching frequency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2160 Hz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[28]</w:t>
            </w:r>
          </w:p>
        </w:tc>
      </w:tr>
      <w:tr>
        <w:trPr>
          <w:cantSplit/>
        </w:trPr>
        <w:tc>
          <w:tcPr>
            <w:tcW w:type="dxa" w:w="17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74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sampling time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  <m:r>
                        <m:t>w</m:t>
                      </m:r>
                    </m:sub>
                  </m:sSub>
                </m:e>
              </m:d>
            </m:oMath>
          </w:p>
        </w:tc>
        <w:tc>
          <w:tcPr>
            <w:tcW w:type="dxa" w:w="31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231.5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>
            <w:tcW w:type="dxa" w:w="14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</w:tr>
      <w:tr>
        <w:trPr>
          <w:cantSplit/>
        </w:trPr>
        <w:tc>
          <w:tcPr>
            <w:tcW w:type="dxa" w:w="1741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749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solver</w:t>
            </w:r>
          </w:p>
        </w:tc>
        <w:tc>
          <w:tcPr>
            <w:tcW w:type="dxa" w:w="3115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fixed-step Runge–Kutta 4, step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type="dxa" w:w="1466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</w:tr>
    </w:tbl>
    <w:bookmarkEnd w:id="26"/>
    <w:bookmarkEnd w:id="27"/>
    <w:bookmarkStart w:id="30" w:name="control-objectives-and-mppt-strategy"/>
    <w:p>
      <w:pPr>
        <w:pStyle w:val="Heading1"/>
      </w:pPr>
      <w:r>
        <w:t xml:space="preserve">3. Control Objectives and MPPT Strategy</w:t>
      </w:r>
    </w:p>
    <w:bookmarkStart w:id="28" w:name="control-objectives"/>
    <w:p>
      <w:pPr>
        <w:pStyle w:val="Heading2"/>
      </w:pPr>
      <w:r>
        <w:t xml:space="preserve">3.1. Control Objectives</w:t>
      </w:r>
    </w:p>
    <w:p>
      <w:pPr>
        <w:pStyle w:val="FirstParagraph"/>
      </w:pPr>
      <w:r>
        <w:t xml:space="preserve">The control is shared between the two converters:</w:t>
      </w:r>
    </w:p>
    <w:p>
      <w:pPr>
        <w:numPr>
          <w:ilvl w:val="0"/>
          <w:numId w:val="1002"/>
        </w:numPr>
      </w:pPr>
      <w:r>
        <w:t xml:space="preserve">the MSC tracks the optimal rotor speed, in order to extract the maximum power below the rated</w:t>
      </w:r>
      <w:r>
        <w:t xml:space="preserve"> </w:t>
      </w:r>
      <w:r>
        <w:t xml:space="preserve">wind speed, and keeps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minimizes the copper losses of the non-salient machine;</w:t>
      </w:r>
    </w:p>
    <w:p>
      <w:pPr>
        <w:numPr>
          <w:ilvl w:val="0"/>
          <w:numId w:val="1002"/>
        </w:numPr>
      </w:pPr>
      <w:r>
        <w:t xml:space="preserve">the GSC regulates the DC-link voltage at</w:t>
      </w:r>
      <w:r>
        <w:t xml:space="preserve"> </w:t>
      </w:r>
      <m:oMath>
        <m:sSubSup>
          <m:e>
            <m:r>
              <m:t>V</m:t>
            </m:r>
          </m:e>
          <m:sub>
            <m:r>
              <m:t>d</m:t>
            </m:r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1200</m:t>
        </m:r>
      </m:oMath>
      <w:r>
        <w:t xml:space="preserve"> V, injects the active power into the grid</w:t>
      </w:r>
      <w:r>
        <w:t xml:space="preserve"> </w:t>
      </w:r>
      <w:r>
        <w:t xml:space="preserve">and keeps the reactive power at zero, i.e., a unity power factor (</w:t>
      </w:r>
      <m:oMath>
        <m:sSub>
          <m:e>
            <m:r>
              <m:t>i</m:t>
            </m:r>
          </m:e>
          <m:sub>
            <m:r>
              <m:t>g</m:t>
            </m:r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All the errors are defined as measured minus reference values. The controller is sampled at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, and</w:t>
      </w:r>
      <w:r>
        <w:t xml:space="preserve"> </w:t>
      </w:r>
      <w:r>
        <w:t xml:space="preserve">the converter voltages are applied one sample after their computation.</w:t>
      </w:r>
    </w:p>
    <w:bookmarkEnd w:id="28"/>
    <w:bookmarkStart w:id="29" w:name="tip-speed-ratio-mppt"/>
    <w:p>
      <w:pPr>
        <w:pStyle w:val="Heading2"/>
      </w:pPr>
      <w:r>
        <w:t xml:space="preserve">3.2. Tip-Speed-Ratio MPPT</w:t>
      </w:r>
    </w:p>
    <w:p>
      <w:pPr>
        <w:pStyle w:val="FirstParagraph"/>
      </w:pPr>
      <w:r>
        <w:t xml:space="preserve">The tip-speed-ratio (TSR) MPPT is used. The optimal speed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Ω</m:t>
                    </m:r>
                  </m:e>
                  <m:sub>
                    <m:r>
                      <m:t>o</m:t>
                    </m:r>
                    <m:r>
                      <m:t>p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(11)</w:t>
            </w:r>
          </w:p>
        </w:tc>
      </w:tr>
    </w:tbl>
    <w:p>
      <w:pPr>
        <w:pStyle w:val="BodyText"/>
        <w:ind w:firstLine="0"/>
      </w:pPr>
      <w:r>
        <w:t xml:space="preserve">computed from the anemometer measurement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limited to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0.5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is filtered by</w:t>
      </w:r>
      <w:r>
        <w:t xml:space="preserve"> </w:t>
      </w:r>
      <w:r>
        <w:t xml:space="preserve">the second-order model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̈"/>
                      </m:accPr>
                      <m:e>
                        <m:r>
                          <m:t>Ω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sSubSup>
                  <m:e>
                    <m:r>
                      <m:t>ω</m:t>
                    </m:r>
                  </m:e>
                  <m:sub>
                    <m:r>
                      <m:t>r</m:t>
                    </m:r>
                  </m:sub>
                  <m:sup>
                    <m: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ω</m:t>
                    </m:r>
                  </m:e>
                  <m:sub>
                    <m:r>
                      <m:t>r</m:t>
                    </m:r>
                  </m:sub>
                </m:sSub>
                <m:sSup>
                  <m:e>
                    <m:acc>
                      <m:accPr>
                        <m:chr m:val="̇"/>
                      </m:accPr>
                      <m:e>
                        <m:r>
                          <m:t>Ω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(12)</w:t>
            </w:r>
          </w:p>
        </w:tc>
      </w:tr>
    </w:tbl>
    <w:p>
      <w:pPr>
        <w:pStyle w:val="BodyText"/>
        <w:ind w:firstLine="0"/>
      </w:pPr>
      <w:r>
        <w:t xml:space="preserve">with</w:t>
      </w:r>
      <w:r>
        <w:t xml:space="preserve"> </w:t>
      </w:r>
      <m:oMath>
        <m:sSub>
          <m:e>
            <m:r>
              <m:t>ω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 rad/s. This filter gives a smooth reference</w:t>
      </w:r>
      <w:r>
        <w:t xml:space="preserve"> </w:t>
      </w:r>
      <m:oMath>
        <m:sSup>
          <m:e>
            <m:r>
              <m:t>Ω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its derivative</w:t>
      </w:r>
      <w:r>
        <w:t xml:space="preserve"> </w:t>
      </w:r>
      <m:oMath>
        <m:sSup>
          <m:e>
            <m:acc>
              <m:accPr>
                <m:chr m:val="̇"/>
              </m:accPr>
              <m:e>
                <m:r>
                  <m:t>Ω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are required by the flatness-based law of Section 4, and it avoids demanding fast</w:t>
      </w:r>
      <w:r>
        <w:t xml:space="preserve"> </w:t>
      </w:r>
      <w:r>
        <w:t xml:space="preserve">speed changes that the large inertia of the turbine cannot follow.</w:t>
      </w:r>
    </w:p>
    <w:bookmarkEnd w:id="29"/>
    <w:bookmarkEnd w:id="30"/>
    <w:bookmarkStart w:id="33" w:name="flatness-based-reference-generation"/>
    <w:p>
      <w:pPr>
        <w:pStyle w:val="Heading1"/>
      </w:pPr>
      <w:r>
        <w:t xml:space="preserve">4. Flatness-Based Reference Generation</w:t>
      </w:r>
    </w:p>
    <w:p>
      <w:pPr>
        <w:pStyle w:val="FirstParagraph"/>
      </w:pPr>
      <w:r>
        <w:t xml:space="preserve">A system is differentially flat when all its variables can be expressed as functions of a flat output</w:t>
      </w:r>
      <w:r>
        <w:t xml:space="preserve"> </w:t>
      </w:r>
      <w:r>
        <w:t xml:space="preserve">and of a finite number of its derivatives [17]. This property is used here to generate the</w:t>
      </w:r>
      <w:r>
        <w:t xml:space="preserve"> </w:t>
      </w:r>
      <w:r>
        <w:t xml:space="preserve">references of the inner variables directly from the desired trajectories, instead of using cascaded</w:t>
      </w:r>
      <w:r>
        <w:t xml:space="preserve"> </w:t>
      </w:r>
      <w:r>
        <w:t xml:space="preserve">loops that react only after an error has appeared [8]. The resulting reference generator is</w:t>
      </w:r>
      <w:r>
        <w:t xml:space="preserve"> </w:t>
      </w:r>
      <w:r>
        <w:t xml:space="preserve">shown in Figure 2, and the flat outputs are summarized in Table 2.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2186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6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2.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Flatness-based reference generation for the MSC (top) and for the GSC (bottom).</w:t>
      </w:r>
    </w:p>
    <w:bookmarkStart w:id="31" w:name="speed-loop"/>
    <w:p>
      <w:pPr>
        <w:pStyle w:val="Heading2"/>
      </w:pPr>
      <w:r>
        <w:t xml:space="preserve">4.1. Speed Loop</w:t>
      </w:r>
    </w:p>
    <w:p>
      <w:pPr>
        <w:pStyle w:val="FirstParagraph"/>
      </w:pPr>
      <w:r>
        <w:t xml:space="preserve">For the PMSG and the shaft,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s</m:t>
                </m:r>
                <m:r>
                  <m:t>d</m:t>
                </m:r>
              </m:sub>
            </m:sSub>
          </m:e>
        </m:d>
      </m:oMath>
      <w:r>
        <w:t xml:space="preserve"> </w:t>
      </w:r>
      <w:r>
        <w:t xml:space="preserve">is a flat output: from (7) and (5),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J</m:t>
                </m:r>
                <m:acc>
                  <m:accPr>
                    <m:chr m:val="̇"/>
                  </m:accPr>
                  <m:e>
                    <m:r>
                      <m:t>Ω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Ω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T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p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(13)</w:t>
            </w:r>
          </w:p>
        </w:tc>
      </w:tr>
    </w:tbl>
    <w:p>
      <w:pPr>
        <w:pStyle w:val="BodyText"/>
        <w:ind w:firstLine="0"/>
      </w:pPr>
      <w:r>
        <w:t xml:space="preserve">and the voltages follow from (3)–(4) with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</m:oMath>
      <w:r>
        <w:t xml:space="preserve"> </w:t>
      </w:r>
      <w:r>
        <w:t xml:space="preserve">and their</w:t>
      </w:r>
      <w:r>
        <w:t xml:space="preserve"> </w:t>
      </w:r>
      <w:r>
        <w:t xml:space="preserve">derivatives. Imposing</w:t>
      </w:r>
      <w:r>
        <w:t xml:space="preserve"> </w:t>
      </w:r>
      <m:oMath>
        <m:acc>
          <m:accPr>
            <m:chr m:val="̇"/>
          </m:accPr>
          <m:e>
            <m:r>
              <m:t>Ω</m:t>
            </m:r>
          </m:e>
        </m:acc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ν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̇"/>
                      </m:accPr>
                      <m:e>
                        <m:r>
                          <m:t>Ω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11</m:t>
                    </m:r>
                  </m:sub>
                </m:sSub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12</m:t>
                    </m:r>
                  </m:sub>
                </m:sSub>
                <m:r>
                  <m:t>​</m:t>
                </m:r>
                <m:r>
                  <m:rPr>
                    <m:sty m:val="p"/>
                  </m:rPr>
                  <m:t>∫</m:t>
                </m:r>
                <m:r>
                  <m:t>​</m:t>
                </m:r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Ω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(14)</w:t>
            </w:r>
          </w:p>
        </w:tc>
      </w:tr>
    </w:tbl>
    <w:p>
      <w:pPr>
        <w:pStyle w:val="BodyText"/>
        <w:ind w:firstLine="0"/>
      </w:pPr>
      <w:r>
        <w:t xml:space="preserve">gives the torque and current references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e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J</m:t>
                </m:r>
                <m:sSub>
                  <m:e>
                    <m:r>
                      <m:t>ν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Ω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Δ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e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p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(15)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is computed from (1)–(2) with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is the neural</w:t>
      </w:r>
      <w:r>
        <w:t xml:space="preserve"> </w:t>
      </w:r>
      <w:r>
        <w:t xml:space="preserve">compensation of Section 6 (</w:t>
      </w:r>
      <m:oMath>
        <m:acc>
          <m:accPr>
            <m:chr m:val="̂"/>
          </m:accPr>
          <m:e>
            <m:r>
              <m:t>Δ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 nominal controller).</w:t>
      </w:r>
      <w:r>
        <w:t xml:space="preserve"> </w:t>
      </w:r>
      <m:oMath>
        <m:sSubSup>
          <m:e>
            <m:r>
              <m:t>T</m:t>
            </m:r>
          </m:e>
          <m:sub>
            <m:r>
              <m:t>e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 limited to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1.2</m:t>
            </m:r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with the integration frozen at the limit.</w:t>
      </w:r>
    </w:p>
    <w:bookmarkEnd w:id="31"/>
    <w:bookmarkStart w:id="32" w:name="dc-link-loop"/>
    <w:p>
      <w:pPr>
        <w:pStyle w:val="Heading2"/>
      </w:pPr>
      <w:r>
        <w:t xml:space="preserve">4.2. DC-Link Loop</w:t>
      </w:r>
    </w:p>
    <w:p>
      <w:pPr>
        <w:pStyle w:val="FirstParagraph"/>
      </w:pPr>
      <w:r>
        <w:t xml:space="preserve">For the GSC, the flat output is the energy stored in the DC link and in the filter,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bSup>
          <m:e>
            <m:r>
              <m:t>V</m:t>
            </m:r>
          </m:e>
          <m:sub>
            <m:r>
              <m:t>d</m:t>
            </m:r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together with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  <m:r>
              <m:t>q</m:t>
            </m:r>
          </m:sub>
        </m:sSub>
      </m:oMath>
      <w:r>
        <w:t xml:space="preserve">. From (8)–(9),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(16)</w:t>
            </w:r>
          </w:p>
        </w:tc>
      </w:tr>
    </w:tbl>
    <w:p>
      <w:pPr>
        <w:pStyle w:val="BodyText"/>
        <w:ind w:firstLine="0"/>
      </w:pPr>
      <w:r>
        <w:t xml:space="preserve">which is a linear power balance [18]. Imposing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21</m:t>
            </m:r>
          </m:sub>
        </m:sSub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22</m:t>
            </m:r>
          </m:sub>
        </m:sSub>
        <m:r>
          <m:rPr>
            <m:sty m:val="p"/>
          </m:rPr>
          <m:t>∫</m:t>
        </m:r>
        <m:sSub>
          <m:e>
            <m:r>
              <m:t>e</m:t>
            </m:r>
          </m:e>
          <m:sub>
            <m:r>
              <m:t>y</m:t>
            </m:r>
          </m:sub>
        </m:sSub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bSup>
          <m:e>
            <m:r>
              <m:t>V</m:t>
            </m:r>
          </m:e>
          <m:sub>
            <m:r>
              <m:t>d</m:t>
            </m:r>
            <m:r>
              <m:t>c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sSubSup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gives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P</m:t>
                    </m:r>
                  </m:e>
                  <m:sub>
                    <m:r>
                      <m:t>g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21</m:t>
                    </m:r>
                  </m:sub>
                </m:sSub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22</m:t>
                    </m:r>
                  </m:sub>
                </m:sSub>
                <m:r>
                  <m:t>​</m:t>
                </m:r>
                <m:r>
                  <m:rPr>
                    <m:sty m:val="p"/>
                  </m:rPr>
                  <m:t>∫</m:t>
                </m:r>
                <m:r>
                  <m:t>​</m:t>
                </m:r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i</m:t>
                    </m:r>
                  </m:e>
                  <m:sub>
                    <m:r>
                      <m:t>g</m:t>
                    </m:r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Sup>
                      <m:e>
                        <m:r>
                          <m:t>P</m:t>
                        </m:r>
                      </m:e>
                      <m:sub>
                        <m:r>
                          <m:t>g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num>
                  <m:den>
                    <m:r>
                      <m:t>3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g</m:t>
                        </m:r>
                        <m:r>
                          <m:t>d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i</m:t>
                    </m:r>
                  </m:e>
                  <m:sub>
                    <m:r>
                      <m:t>g</m:t>
                    </m:r>
                    <m:r>
                      <m:t>q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(17)</w:t>
            </w:r>
          </w:p>
        </w:tc>
      </w:tr>
    </w:tbl>
    <w:p>
      <w:pPr>
        <w:pStyle w:val="BodyText"/>
        <w:ind w:firstLine="0"/>
      </w:pPr>
      <w:r>
        <w:t xml:space="preserve">The feedforward of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, computed from the applied MSC voltages and the measured currents, passes the</w:t>
      </w:r>
      <w:r>
        <w:t xml:space="preserve"> </w:t>
      </w:r>
      <w:r>
        <w:t xml:space="preserve">generator power to the grid before it changes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.</w:t>
      </w:r>
    </w:p>
    <w:p>
      <w:pPr>
        <w:pStyle w:val="BodyText"/>
        <w:keepNext/>
        <w:spacing w:before="200" w:after="8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Table 2.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Flat outputs, reference variables and required derivatives.</w:t>
      </w:r>
    </w:p>
    <w:tbl>
      <w:tblPr>
        <w:tblStyle w:val="Table"/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2633"/>
        <w:gridCol w:w="1365"/>
        <w:gridCol w:w="2243"/>
        <w:gridCol w:w="2828"/>
      </w:tblGrid>
      <w:tr>
        <w:trPr>
          <w:tblHeader w:val="true"/>
          <w:cantSplit/>
        </w:trPr>
        <w:tc>
          <w:tcPr>
            <w:tcW w:type="dxa" w:w="2633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Subsystem</w:t>
            </w:r>
          </w:p>
        </w:tc>
        <w:tc>
          <w:tcPr>
            <w:tcW w:type="dxa" w:w="1366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Flat output</w:t>
            </w:r>
          </w:p>
        </w:tc>
        <w:tc>
          <w:tcPr>
            <w:tcW w:type="dxa" w:w="2243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References generated</w:t>
            </w:r>
          </w:p>
        </w:tc>
        <w:tc>
          <w:tcPr>
            <w:tcW w:type="dxa" w:w="2829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Required derivatives</w:t>
            </w:r>
          </w:p>
        </w:tc>
      </w:tr>
      <w:tr>
        <w:trPr>
          <w:cantSplit/>
        </w:trPr>
        <w:tc>
          <w:tcPr>
            <w:tcW w:type="dxa" w:w="263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PMSG and shaft (MSC)</w:t>
            </w:r>
          </w:p>
        </w:tc>
        <w:tc>
          <w:tcPr>
            <w:tcW w:type="dxa" w:w="13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d</m:t>
                  </m:r>
                </m:sub>
              </m:sSub>
            </m:oMath>
          </w:p>
        </w:tc>
        <w:tc>
          <w:tcPr>
            <w:tcW w:type="dxa" w:w="224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e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Sup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(15);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Sup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tcW w:type="dxa" w:w="282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p>
                <m:e>
                  <m:acc>
                    <m:accPr>
                      <m:chr m:val="̇"/>
                    </m:accPr>
                    <m:e>
                      <m:r>
                        <m:t>Ω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from (12);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Sup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i</m:t>
                      </m:r>
                    </m:e>
                  </m:acc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</w:tr>
      <w:tr>
        <w:trPr>
          <w:cantSplit/>
        </w:trPr>
        <w:tc>
          <w:tcPr>
            <w:tcW w:type="dxa" w:w="263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DC link and filter (GSC)</w:t>
            </w:r>
          </w:p>
        </w:tc>
        <w:tc>
          <w:tcPr>
            <w:tcW w:type="dxa" w:w="136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g</m:t>
                  </m:r>
                  <m:r>
                    <m:t>q</m:t>
                  </m:r>
                </m:sub>
              </m:sSub>
            </m:oMath>
          </w:p>
        </w:tc>
        <w:tc>
          <w:tcPr>
            <w:tcW w:type="dxa" w:w="224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g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Sup>
                <m:e>
                  <m:r>
                    <m:t>i</m:t>
                  </m:r>
                </m:e>
                <m:sub>
                  <m:r>
                    <m:t>g</m:t>
                  </m:r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(17);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Sup>
                <m:e>
                  <m:r>
                    <m:t>i</m:t>
                  </m:r>
                </m:e>
                <m:sub>
                  <m:r>
                    <m:t>g</m:t>
                  </m:r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tcW w:type="dxa" w:w="2829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from (16);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Sup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i</m:t>
                      </m:r>
                    </m:e>
                  </m:acc>
                </m:e>
                <m:sub>
                  <m:r>
                    <m:t>g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</w:tr>
      <w:tr>
        <w:trPr>
          <w:cantSplit/>
        </w:trPr>
        <w:tc>
          <w:tcPr>
            <w:tcW w:type="dxa" w:w="2633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Current loops (PBC)</w:t>
            </w:r>
          </w:p>
        </w:tc>
        <w:tc>
          <w:tcPr>
            <w:tcW w:type="dxa" w:w="1366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–</w:t>
            </w:r>
          </w:p>
        </w:tc>
        <w:tc>
          <w:tcPr>
            <w:tcW w:type="dxa" w:w="2243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(Section 5)</w:t>
            </w:r>
          </w:p>
        </w:tc>
        <w:tc>
          <w:tcPr>
            <w:tcW w:type="dxa" w:w="2829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first-order filters (2 ms)</w:t>
            </w:r>
          </w:p>
        </w:tc>
      </w:tr>
    </w:tbl>
    <w:bookmarkEnd w:id="32"/>
    <w:bookmarkEnd w:id="33"/>
    <w:bookmarkStart w:id="37" w:name="passivity-based-inner-control-design"/>
    <w:p>
      <w:pPr>
        <w:pStyle w:val="Heading1"/>
      </w:pPr>
      <w:r>
        <w:t xml:space="preserve">5. Passivity-Based Inner Control Design</w:t>
      </w:r>
    </w:p>
    <w:bookmarkStart w:id="34" w:name="port-controlled-hamiltonian-form"/>
    <w:p>
      <w:pPr>
        <w:pStyle w:val="Heading2"/>
      </w:pPr>
      <w:r>
        <w:t xml:space="preserve">5.1. Port-Controlled Hamiltonian Form</w:t>
      </w:r>
    </w:p>
    <w:p>
      <w:pPr>
        <w:pStyle w:val="FirstParagraph"/>
      </w:pPr>
      <w:r>
        <w:t xml:space="preserve">With the stored magnetic energy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i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the generator model (6) is a</w:t>
      </w:r>
      <w:r>
        <w:t xml:space="preserve"> </w:t>
      </w:r>
      <w:r>
        <w:t xml:space="preserve">port-controlled Hamiltonian system with dissipation [20]: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acc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cr m:val="script"/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b"/>
                      </m:rPr>
                      <m:t>I</m:t>
                    </m:r>
                  </m:e>
                </m:d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ψ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acc>
                      <m:accPr>
                        <m:chr m:val="̇"/>
                      </m:accPr>
                      <m:e>
                        <m:r>
                          <m:t>H</m:t>
                        </m:r>
                      </m:e>
                    </m:acc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  <m:sup>
                    <m:r>
                      <m:t>T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v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(18)</w:t>
            </w:r>
          </w:p>
        </w:tc>
      </w:tr>
    </w:tbl>
    <w:p>
      <w:pPr>
        <w:pStyle w:val="BodyText"/>
        <w:ind w:firstLine="0"/>
      </w:pPr>
      <w:r>
        <w:t xml:space="preserve">The interconnection term</w:t>
      </w:r>
      <w:r>
        <w:t xml:space="preserve"> </w:t>
      </w:r>
      <m:oMath>
        <m:sSub>
          <m:e>
            <m:r>
              <m:t>ω</m:t>
            </m:r>
          </m:e>
          <m:sub>
            <m:r>
              <m:t>e</m:t>
            </m:r>
          </m:sub>
        </m:sSub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skew-symmetric, so it does not produce or dissipate energy.</w:t>
      </w:r>
      <w:r>
        <w:t xml:space="preserve"> </w:t>
      </w:r>
      <w:r>
        <w:t xml:space="preserve">PBC keeps this workless term instead of cancelling it, shapes the energy of the error dynamics, and</w:t>
      </w:r>
      <w:r>
        <w:t xml:space="preserve"> </w:t>
      </w:r>
      <w:r>
        <w:t xml:space="preserve">injects damping [19]. The structure is shown in Figure 3.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472000" cy="1768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68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3.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Energy-shaping and damping-injection structure of the passivity-based current control (MSC).</w:t>
      </w:r>
    </w:p>
    <w:bookmarkEnd w:id="34"/>
    <w:bookmarkStart w:id="35" w:name="machine-side-control-law"/>
    <w:p>
      <w:pPr>
        <w:pStyle w:val="Heading2"/>
      </w:pPr>
      <w:r>
        <w:t xml:space="preserve">5.2. Machine-Side Control Law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Sup>
          <m:e>
            <m:r>
              <m:rPr>
                <m:sty m:val="b"/>
              </m:rPr>
              <m:t>i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z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</m:oMath>
      <w:r>
        <w:t xml:space="preserve">, the MSC voltage reference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s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sSubSup>
                          <m:e>
                            <m:acc>
                              <m:accPr>
                                <m:chr m:val="̇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i</m:t>
                                </m:r>
                              </m:e>
                            </m:acc>
                          </m:e>
                          <m:sub>
                            <m:r>
                              <m:t>s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sSubSup>
                          <m:e>
                            <m:r>
                              <m:rPr>
                                <m:sty m:val="b"/>
                              </m:rPr>
                              <m:t>i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r>
                          <m:rPr>
                            <m:scr m:val="script"/>
                            <m:sty m:val="p"/>
                          </m:rPr>
                          <m:t>J</m:t>
                        </m:r>
                        <m:sSubSup>
                          <m:e>
                            <m:r>
                              <m:rPr>
                                <m:sty m:val="b"/>
                              </m:rPr>
                              <m:t>i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  <m:sSub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t>q</m:t>
                            </m:r>
                          </m:sub>
                        </m:sSub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m:t>energy shaping</m:t>
                    </m:r>
                  </m:lim>
                </m:limLow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m:t>damping</m:t>
                    </m:r>
                  </m:lim>
                </m:limLow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z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(19)</w:t>
            </w:r>
          </w:p>
        </w:tc>
      </w:tr>
    </w:tbl>
    <w:p>
      <w:pPr>
        <w:pStyle w:val="BodyText"/>
        <w:ind w:firstLine="0"/>
      </w:pPr>
      <w:r>
        <w:t xml:space="preserve">Inserting (19) into (6) gives the error dynamics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</m:acc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cr m:val="script"/>
                    <m:sty m:val="p"/>
                  </m:rPr>
                  <m:t>J</m:t>
                </m:r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z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(20)</w:t>
            </w:r>
          </w:p>
        </w:tc>
      </w:tr>
    </w:tbl>
    <w:p>
      <w:pPr>
        <w:pStyle w:val="BodyText"/>
        <w:ind w:firstLine="0"/>
      </w:pPr>
      <w:r>
        <w:t xml:space="preserve">which keep the skew-symmetric coupling of the machine, with the total damping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35"/>
    <w:bookmarkStart w:id="36" w:name="grid-side-control-law"/>
    <w:p>
      <w:pPr>
        <w:pStyle w:val="Heading2"/>
      </w:pPr>
      <w:r>
        <w:t xml:space="preserve">5.3. Grid-Side Control Law</w:t>
      </w:r>
    </w:p>
    <w:p>
      <w:pPr>
        <w:pStyle w:val="FirstParagraph"/>
      </w:pPr>
      <w:r>
        <w:t xml:space="preserve">The same design is applied to the filter (9). With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Sup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z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</m:oMath>
      <w:r>
        <w:t xml:space="preserve">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L</m:t>
                    </m:r>
                  </m:e>
                  <m:sub>
                    <m:r>
                      <m:t>f</m:t>
                    </m:r>
                  </m:sub>
                </m:sSub>
                <m:sSubSup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acc>
                  </m:e>
                  <m:sub>
                    <m:r>
                      <m:t>g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sSubSup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>
                  <m:e>
                    <m:r>
                      <m:t>ω</m:t>
                    </m:r>
                  </m:e>
                  <m:sub>
                    <m:r>
                      <m:t>g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cr m:val="script"/>
                    <m:sty m:val="p"/>
                  </m:rPr>
                  <m:t>J</m:t>
                </m:r>
                <m:sSubSup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  <m:r>
                      <m:t>g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(21)</w:t>
            </w:r>
          </w:p>
        </w:tc>
      </w:tr>
    </w:tbl>
    <w:p>
      <w:pPr>
        <w:pStyle w:val="BodyText"/>
        <w:ind w:firstLine="0"/>
      </w:pPr>
      <w:r>
        <w:t xml:space="preserve">which gives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e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+</m:t>
        </m:r>
        <m:sSub>
          <m:e>
            <m:r>
              <m:t>ω</m:t>
            </m:r>
          </m:e>
          <m:sub>
            <m:r>
              <m:t>g</m:t>
            </m:r>
          </m:sub>
        </m:sSub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cr m:val="script"/>
            <m:sty m:val="p"/>
          </m:rPr>
          <m:t>J</m:t>
        </m:r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i</m:t>
            </m:r>
            <m:r>
              <m:t>g</m:t>
            </m:r>
          </m:sub>
        </m:sSub>
        <m:sSub>
          <m:e>
            <m:r>
              <m:rPr>
                <m:sty m:val="b"/>
              </m:rPr>
              <m:t>z</m:t>
            </m:r>
          </m:e>
          <m:sub>
            <m:r>
              <m:t>g</m:t>
            </m:r>
          </m:sub>
        </m:sSub>
      </m:oMath>
      <w:r>
        <w:t xml:space="preserve">. The reference</w:t>
      </w:r>
      <w:r>
        <w:t xml:space="preserve"> </w:t>
      </w:r>
      <w:r>
        <w:t xml:space="preserve">derivatives are obtained by first-order filters with a time constant of 2 ms, and the integrals are</w:t>
      </w:r>
      <w:r>
        <w:t xml:space="preserve"> </w:t>
      </w:r>
      <w:r>
        <w:t xml:space="preserve">frozen when the voltage reaches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Proposition 1.</w:t>
      </w:r>
      <w: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, the storage function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of the</w:t>
      </w:r>
      <w:r>
        <w:rPr>
          <w:i/>
          <w:iCs/>
        </w:rPr>
        <w:t xml:space="preserve"> </w:t>
      </w:r>
      <w:r>
        <w:rPr>
          <w:i/>
          <w:iCs/>
        </w:rPr>
        <w:t xml:space="preserve">error dynamics (20) satisfies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∥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rPr>
          <w:i/>
          <w:iCs/>
        </w:rPr>
        <w:t xml:space="preserve">. The same holds for the</w:t>
      </w:r>
      <w:r>
        <w:rPr>
          <w:i/>
          <w:iCs/>
        </w:rPr>
        <w:t xml:space="preserve"> </w:t>
      </w:r>
      <w:r>
        <w:rPr>
          <w:i/>
          <w:iCs/>
        </w:rPr>
        <w:t xml:space="preserve">grid side with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K</m:t>
            </m:r>
          </m:e>
          <m:sub>
            <m:r>
              <m:t>i</m:t>
            </m:r>
            <m:r>
              <m:t>g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z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∥</m:t>
        </m:r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</w:p>
    <w:p>
      <w:pPr>
        <w:pStyle w:val="BodyText"/>
        <w:spacing w:before="80" w:after="60"/>
        <w:ind w:firstLine="0"/>
        <w:jc w:val="both"/>
      </w:pPr>
      <w:r>
        <w:rPr>
          <w:i/>
          <w:iCs/>
        </w:rPr>
        <w:t xml:space="preserve">Proof.</w:t>
      </w:r>
      <w:r>
        <w:t xml:space="preserve"> </w:t>
      </w:r>
      <w:r>
        <w:t xml:space="preserve">From (20),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  <m:sup>
            <m:r>
              <m:t>T</m:t>
            </m:r>
          </m:sup>
        </m:sSubSup>
        <m:sSub>
          <m:e>
            <m:r>
              <m:t>L</m:t>
            </m:r>
          </m:e>
          <m:sub>
            <m:r>
              <m:t>s</m:t>
            </m:r>
          </m:sub>
        </m:sSub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e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i</m:t>
            </m:r>
          </m:sub>
        </m:sSub>
        <m:sSubSup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  <m:sup>
            <m:r>
              <m:t>T</m:t>
            </m:r>
          </m:sup>
        </m:sSubSup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∥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ω</m:t>
            </m:r>
          </m:e>
          <m:sub>
            <m:r>
              <m:t>e</m:t>
            </m:r>
          </m:sub>
        </m:sSub>
        <m:sSub>
          <m:e>
            <m:r>
              <m:t>L</m:t>
            </m:r>
          </m:e>
          <m:sub>
            <m:r>
              <m:t>s</m:t>
            </m:r>
          </m:sub>
        </m:sSub>
        <m:sSubSup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  <m:sup>
            <m:r>
              <m:t>T</m:t>
            </m:r>
          </m:sup>
        </m:sSubSup>
        <m:r>
          <m:rPr>
            <m:scr m:val="script"/>
            <m:sty m:val="p"/>
          </m:rPr>
          <m:t>J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∥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since</w:t>
      </w:r>
      <w:r>
        <w:t xml:space="preserve"> </w:t>
      </w:r>
      <m:oMath>
        <m:sSubSup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  <m:sup>
            <m:r>
              <m:t>T</m:t>
            </m:r>
          </m:sup>
        </m:sSubSup>
        <m:r>
          <m:rPr>
            <m:scr m:val="script"/>
            <m:sty m:val="p"/>
          </m:rPr>
          <m:t>J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The grid</w:t>
      </w:r>
      <w:r>
        <w:t xml:space="preserve"> </w:t>
      </w:r>
      <w:r>
        <w:t xml:space="preserve">side is identical.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gains place double closed-loop poles: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ω</m:t>
            </m:r>
          </m:e>
          <m:sub>
            <m:r>
              <m:t>i</m:t>
            </m:r>
          </m:sub>
        </m:sSub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i</m:t>
            </m:r>
          </m:sub>
          <m:sup>
            <m:r>
              <m:t>2</m:t>
            </m:r>
          </m:sup>
        </m:sSubSup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ω</m:t>
            </m:r>
          </m:e>
          <m:sub>
            <m:r>
              <m:t>i</m:t>
            </m:r>
          </m:sub>
        </m:sSub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g</m:t>
            </m:r>
          </m:sub>
        </m:sSub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i</m:t>
            </m:r>
          </m:sub>
          <m:sup>
            <m:r>
              <m:t>2</m:t>
            </m:r>
          </m:sup>
        </m:sSubSup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ω</m:t>
            </m:r>
          </m:e>
          <m:sub>
            <m:r>
              <m:t>Ω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Ω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v</m:t>
            </m:r>
          </m:sub>
          <m:sup>
            <m:r>
              <m:t>2</m:t>
            </m:r>
          </m:sup>
        </m:sSubSup>
      </m:oMath>
      <w:r>
        <w:t xml:space="preserve">, with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ω</m:t>
            </m:r>
          </m:e>
          <m:sub>
            <m:r>
              <m:t>Ω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 rad/s,</w:t>
      </w:r>
      <w:r>
        <w:t xml:space="preserve"> </w:t>
      </w:r>
      <w:r>
        <w:t xml:space="preserve">so that the bandwidths are separated by more than one decade (Table 3).</w:t>
      </w:r>
    </w:p>
    <w:bookmarkEnd w:id="36"/>
    <w:bookmarkEnd w:id="37"/>
    <w:bookmarkStart w:id="41" w:name="adaptive-rbf-neural-compensation"/>
    <w:p>
      <w:pPr>
        <w:pStyle w:val="Heading1"/>
      </w:pPr>
      <w:r>
        <w:t xml:space="preserve">6. Adaptive RBF Neural Compensation</w:t>
      </w:r>
    </w:p>
    <w:bookmarkStart w:id="38" w:name="lumped-uncertainty"/>
    <w:p>
      <w:pPr>
        <w:pStyle w:val="Heading2"/>
      </w:pPr>
      <w:r>
        <w:t xml:space="preserve">6.1. Lumped Uncertainty</w:t>
      </w:r>
    </w:p>
    <w:p>
      <w:pPr>
        <w:pStyle w:val="FirstParagraph"/>
      </w:pPr>
      <w:r>
        <w:t xml:space="preserve">The flat speed law (15) uses the model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of the aerodynamic torque. The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model, the anemometer, which measures the wind at one point and with a delay, the magnet flux and the</w:t>
      </w:r>
      <w:r>
        <w:t xml:space="preserve"> </w:t>
      </w:r>
      <w:r>
        <w:t xml:space="preserve">other parameters of the generator are uncertain. Their effects are gathered in the lumped uncertainty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Δ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(22)</w:t>
            </w:r>
          </w:p>
        </w:tc>
      </w:tr>
    </w:tbl>
    <w:p>
      <w:pPr>
        <w:pStyle w:val="BodyText"/>
        <w:ind w:firstLine="0"/>
      </w:pPr>
      <w:r>
        <w:t xml:space="preserve">and, with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  <m:r>
          <m:rPr>
            <m:sty m:val="p"/>
          </m:rPr>
          <m:t>=</m:t>
        </m:r>
        <m:sSubSup>
          <m:e>
            <m:r>
              <m:t>i</m:t>
            </m:r>
          </m:e>
          <m:sub>
            <m:r>
              <m:t>s</m:t>
            </m:r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the speed error obeys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J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e</m:t>
                            </m:r>
                          </m:e>
                        </m:acc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e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​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​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Δ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Δ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(23)</w:t>
            </w:r>
          </w:p>
        </w:tc>
      </w:tr>
    </w:tbl>
    <w:bookmarkEnd w:id="38"/>
    <w:bookmarkStart w:id="39" w:name="rbf-approximation"/>
    <w:p>
      <w:pPr>
        <w:pStyle w:val="Heading2"/>
      </w:pPr>
      <w:r>
        <w:t xml:space="preserve">6.2. RBF Approximation</w:t>
      </w:r>
    </w:p>
    <w:p>
      <w:pPr>
        <w:pStyle w:val="FirstParagraph"/>
      </w:pPr>
      <w:r>
        <w:t xml:space="preserve">The uncertainty depends mainly on the operating point, i.e., on the rotor speed and on the wind speed.</w:t>
      </w:r>
      <w:r>
        <w:t xml:space="preserve"> </w:t>
      </w:r>
      <w:r>
        <w:t xml:space="preserve">The input vector of the network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z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Ω</m:t>
                            </m:r>
                          </m:num>
                          <m:den>
                            <m:sSub>
                              <m:e>
                                <m:r>
                                  <m:t>Ω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  <m:r>
                          <m:t> </m:t>
                        </m:r>
                        <m:r>
                          <m:t> 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m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(24)</w:t>
            </w:r>
          </w:p>
        </w:tc>
      </w:tr>
    </w:tbl>
    <w:p>
      <w:pPr>
        <w:pStyle w:val="BodyText"/>
        <w:ind w:firstLine="0"/>
      </w:pPr>
      <w:r>
        <w:t xml:space="preserve">and, on a compact operating region</w:t>
      </w:r>
      <w:r>
        <w:t xml:space="preserve"> </w:t>
      </w:r>
      <m:oMath>
        <m:sSub>
          <m:e>
            <m:r>
              <m:t>Ω</m:t>
            </m:r>
          </m:e>
          <m:sub>
            <m:r>
              <m:t>z</m:t>
            </m:r>
          </m:sub>
        </m:sSub>
      </m:oMath>
      <w:r>
        <w:t xml:space="preserve">, the uncertainty is approximated by [21]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W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  <m:r>
                      <m:t>T</m:t>
                    </m:r>
                  </m:sup>
                </m:sSup>
                <m:r>
                  <m:rPr>
                    <m:sty m:val="b"/>
                  </m:rPr>
                  <m:t>Φ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ε</m:t>
                    </m:r>
                  </m:e>
                </m:d>
                <m:r>
                  <m:rPr>
                    <m:sty m:val="p"/>
                  </m:rPr>
                  <m:t>≤</m:t>
                </m:r>
                <m:acc>
                  <m:accPr>
                    <m:chr m:val="‾"/>
                  </m:accPr>
                  <m:e>
                    <m:r>
                      <m:t>ε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Φ</m:t>
                    </m:r>
                  </m:e>
                  <m:sub>
                    <m:r>
                      <m:t>j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∥</m:t>
                        </m:r>
                        <m:r>
                          <m:rPr>
                            <m:sty m:val="b"/>
                          </m:rP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c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∥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(25)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an ideal weight vector 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the approximation error. The network has 25</w:t>
      </w:r>
      <w:r>
        <w:t xml:space="preserve"> </w:t>
      </w:r>
      <w:r>
        <w:t xml:space="preserve">Gaussian units centred on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grid of</w:t>
      </w:r>
      <w: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1.1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with the width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(Table 3). The compensation term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Δ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  <m:sup>
                    <m:r>
                      <m:t>T</m:t>
                    </m:r>
                  </m:sup>
                </m:sSup>
                <m:r>
                  <m:rPr>
                    <m:sty m:val="b"/>
                  </m:rPr>
                  <m:t>Φ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(26)</w:t>
            </w:r>
          </w:p>
        </w:tc>
      </w:tr>
    </w:tbl>
    <w:p>
      <w:pPr>
        <w:pStyle w:val="BodyText"/>
        <w:ind w:firstLine="0"/>
      </w:pPr>
      <w:r>
        <w:t xml:space="preserve">When the network is used, it replaces the integral action of the speed loop (</w:t>
      </w: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 otherwise the</w:t>
      </w:r>
      <w:r>
        <w:t xml:space="preserve"> </w:t>
      </w:r>
      <w:r>
        <w:t xml:space="preserve">integral would absorb the slowly varying part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 the network would not learn it.</w:t>
      </w:r>
    </w:p>
    <w:bookmarkEnd w:id="39"/>
    <w:bookmarkStart w:id="40" w:name="adaptation-law"/>
    <w:p>
      <w:pPr>
        <w:pStyle w:val="Heading2"/>
      </w:pPr>
      <w:r>
        <w:t xml:space="preserve">6.3. Adaptation Law</w:t>
      </w:r>
    </w:p>
    <w:p>
      <w:pPr>
        <w:pStyle w:val="FirstParagraph"/>
      </w:pPr>
      <w:r>
        <w:t xml:space="preserve">The weights are adapted online by the Lyapunov-based law with</w:t>
      </w:r>
      <w:r>
        <w:t xml:space="preserve"> </w:t>
      </w:r>
      <m:oMath>
        <m:r>
          <m:t>σ</m:t>
        </m:r>
      </m:oMath>
      <w:r>
        <w:t xml:space="preserve">-modification [23]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̇"/>
                  </m:acc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=</m:t>
                </m:r>
                <m:r>
                  <m:t>Γ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Φ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z</m:t>
                        </m:r>
                      </m:e>
                    </m:d>
                    <m:r>
                      <m:t>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W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(27)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adaptation gain 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limits the drift of the weights in the presence of</w:t>
      </w:r>
      <w:r>
        <w:t xml:space="preserve"> </w:t>
      </w:r>
      <w:r>
        <w:t xml:space="preserve">noise and approximation error. The adaptation is frozen when</w:t>
      </w:r>
      <w:r>
        <w:t xml:space="preserve"> </w:t>
      </w:r>
      <m:oMath>
        <m:sSubSup>
          <m:e>
            <m:r>
              <m:t>T</m:t>
            </m:r>
          </m:e>
          <m:sub>
            <m:r>
              <m:t>e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reaches its limit. The complete</w:t>
      </w:r>
      <w:r>
        <w:t xml:space="preserve"> </w:t>
      </w:r>
      <w:r>
        <w:t xml:space="preserve">controller is shown in Figure 4.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4031999" cy="3167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1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4.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Complete proposed controller: flatness-based references, passivity-based current loops and adaptive RBF compensation.</w:t>
      </w:r>
    </w:p>
    <w:p>
      <w:pPr>
        <w:pStyle w:val="BodyText"/>
        <w:keepNext/>
        <w:spacing w:before="200" w:after="8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Table 3.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RBF network and controller parameters.</w:t>
      </w:r>
    </w:p>
    <w:tbl>
      <w:tblPr>
        <w:tblStyle w:val="Table"/>
        <w:tblW w:type="dxa" w:w="850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3173"/>
        <w:gridCol w:w="5331"/>
      </w:tblGrid>
      <w:tr>
        <w:trPr>
          <w:tblHeader w:val="true"/>
          <w:cantSplit/>
        </w:trPr>
        <w:tc>
          <w:tcPr>
            <w:tcW w:type="dxa" w:w="3173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Parameter</w:t>
            </w:r>
          </w:p>
        </w:tc>
        <w:tc>
          <w:tcPr>
            <w:tcW w:type="dxa" w:w="5331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RBF inputs</w:t>
            </w:r>
          </w:p>
        </w:tc>
        <w:tc>
          <w:tcPr>
            <w:tcW w:type="dxa" w:w="533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rPr>
                  <m:sty m:val="b"/>
                </m:rPr>
                <m:t>z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Ω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 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m:t>T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Number of neurons</w:t>
            </w:r>
          </w:p>
        </w:tc>
        <w:tc>
          <w:tcPr>
            <w:tcW w:type="dxa" w:w="533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 Gaussian units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Centres</w:t>
            </w:r>
          </w:p>
        </w:tc>
        <w:tc>
          <w:tcPr>
            <w:tcW w:type="dxa" w:w="533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grid 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1.1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Width</w:t>
            </w:r>
          </w:p>
        </w:tc>
        <w:tc>
          <w:tcPr>
            <w:tcW w:type="dxa" w:w="533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0.15</m:t>
              </m:r>
            </m:oMath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Adaptation gains</w:t>
            </w:r>
          </w:p>
        </w:tc>
        <w:tc>
          <w:tcPr>
            <w:tcW w:type="dxa" w:w="533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0.02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s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-1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W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Speed loop (FBC)</w:t>
            </w:r>
          </w:p>
        </w:tc>
        <w:tc>
          <w:tcPr>
            <w:tcW w:type="dxa" w:w="533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(0 with the network);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DC-link loop (FBC)</w:t>
            </w:r>
          </w:p>
        </w:tc>
        <w:tc>
          <w:tcPr>
            <w:tcW w:type="dxa" w:w="533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3600</m:t>
              </m:r>
            </m:oMath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MSC current loop (PBC)</w:t>
            </w:r>
          </w:p>
        </w:tc>
        <w:tc>
          <w:tcPr>
            <w:tcW w:type="dxa" w:w="533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500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1.57</m:t>
              </m:r>
              <m:r>
                <m:t> </m:t>
              </m:r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393</m:t>
              </m:r>
              <m:r>
                <m:t> </m:t>
              </m:r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/s</w:t>
            </w:r>
          </w:p>
        </w:tc>
      </w:tr>
      <w:tr>
        <w:trPr>
          <w:cantSplit/>
        </w:trPr>
        <w:tc>
          <w:tcPr>
            <w:tcW w:type="dxa" w:w="3173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GSC current loop (PBC)</w:t>
            </w:r>
          </w:p>
        </w:tc>
        <w:tc>
          <w:tcPr>
            <w:tcW w:type="dxa" w:w="5331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500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0.148</m:t>
              </m:r>
              <m:r>
                <m:t> </m:t>
              </m:r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37.5</m:t>
              </m:r>
              <m:r>
                <m:t> </m:t>
              </m:r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/s</w:t>
            </w:r>
          </w:p>
        </w:tc>
      </w:tr>
    </w:tbl>
    <w:bookmarkEnd w:id="40"/>
    <w:bookmarkEnd w:id="41"/>
    <w:bookmarkStart w:id="42" w:name="stability-analysis"/>
    <w:p>
      <w:pPr>
        <w:pStyle w:val="Heading1"/>
      </w:pPr>
      <w:r>
        <w:t xml:space="preserve">7. Stability Analysis</w:t>
      </w:r>
    </w:p>
    <w:p>
      <w:pPr>
        <w:pStyle w:val="FirstParagraph"/>
      </w:pPr>
      <w:r>
        <w:t xml:space="preserve">The analysis is made under the following assumptions.</w:t>
      </w:r>
    </w:p>
    <w:p>
      <w:pPr>
        <w:pStyle w:val="BodyText"/>
      </w:pPr>
      <w:r>
        <w:rPr>
          <w:b/>
          <w:bCs/>
        </w:rPr>
        <w:t xml:space="preserve">Assumption 1.</w:t>
      </w:r>
      <w:r>
        <w:t xml:space="preserve"> </w:t>
      </w:r>
      <w:r>
        <w:rPr>
          <w:i/>
          <w:iCs/>
        </w:rPr>
        <w:t xml:space="preserve">On the compact set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z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that contains</w:t>
      </w:r>
      <w:r>
        <w:rPr>
          <w:i/>
          <w:iCs/>
        </w:rPr>
        <w:t xml:space="preserve"> </w:t>
      </w:r>
      <m:oMath>
        <m:r>
          <m:rPr>
            <m:sty m:val="b"/>
          </m:rPr>
          <m:t>z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>
          <w:i/>
          <w:iCs/>
        </w:rPr>
        <w:t xml:space="preserve">, the approximation (25) holds with</w:t>
      </w:r>
      <w:r>
        <w:rPr>
          <w:i/>
          <w:iCs/>
        </w:rP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ε</m:t>
            </m:r>
          </m:e>
        </m:d>
        <m:r>
          <m:rPr>
            <m:sty m:val="p"/>
          </m:rPr>
          <m:t>≤</m:t>
        </m:r>
        <m:acc>
          <m:accPr>
            <m:chr m:val="‾"/>
          </m:accPr>
          <m:e>
            <m:r>
              <m:t>ε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∥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≤</m:t>
        </m:r>
        <m:acc>
          <m:accPr>
            <m:chr m:val="‾"/>
          </m:accPr>
          <m:e>
            <m:r>
              <m:t>W</m:t>
            </m:r>
          </m:e>
        </m:acc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Assumption 2.</w:t>
      </w:r>
      <w:r>
        <w:t xml:space="preserve"> </w:t>
      </w:r>
      <m:oMath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known, the parameter mismatch is included in</w:t>
      </w:r>
      <w:r>
        <w:rPr>
          <w:i/>
          <w:iCs/>
        </w:rPr>
        <w:t xml:space="preserve"> </w:t>
      </w:r>
      <m:oMath>
        <m:r>
          <m:t>Δ</m:t>
        </m:r>
      </m:oMath>
      <w:r>
        <w:rPr>
          <w:i/>
          <w:iCs/>
        </w:rPr>
        <w:t xml:space="preserve">, the torque and voltage limits are</w:t>
      </w:r>
      <w:r>
        <w:rPr>
          <w:i/>
          <w:iCs/>
        </w:rPr>
        <w:t xml:space="preserve"> </w:t>
      </w:r>
      <w:r>
        <w:rPr>
          <w:i/>
          <w:iCs/>
        </w:rPr>
        <w:t xml:space="preserve">not reached, and</w:t>
      </w:r>
      <w:r>
        <w:rPr>
          <w:i/>
          <w:iCs/>
        </w:rPr>
        <w:t xml:space="preserve"> </w:t>
      </w:r>
      <m:oMath>
        <m:sSup>
          <m:e>
            <m:r>
              <m:t>Ω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acc>
              <m:accPr>
                <m:chr m:val="̇"/>
              </m:accPr>
              <m:e>
                <m:r>
                  <m:t>Ω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e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g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bounded.</w:t>
      </w:r>
    </w:p>
    <w:p>
      <w:pPr>
        <w:pStyle w:val="BodyText"/>
        <w:spacing w:before="80" w:after="60"/>
        <w:ind w:firstLine="0"/>
        <w:jc w:val="both"/>
      </w:pPr>
      <w:r>
        <w:rPr>
          <w:b/>
          <w:bCs/>
        </w:rPr>
        <w:t xml:space="preserve">Theorem 1.</w:t>
      </w:r>
      <w:r>
        <w:t xml:space="preserve"> </w:t>
      </w:r>
      <w:r>
        <w:rPr>
          <w:i/>
          <w:iCs/>
        </w:rPr>
        <w:t xml:space="preserve">Consider the system (6)–(9) with the flat laws (15) (</w:t>
      </w: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and (17), the PBC laws (19)–(21), the compensation (26)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adaptation law (27) with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 Under Assumptions 1 and 2:</w:t>
      </w:r>
    </w:p>
    <w:p>
      <w:pPr>
        <w:pStyle w:val="BodyText"/>
      </w:pPr>
      <w:r>
        <w:rPr>
          <w:i/>
          <w:iCs/>
        </w:rPr>
        <w:t xml:space="preserve">(i) the current errors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 the integrals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g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bounded, and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i/>
          <w:iCs/>
        </w:rPr>
        <w:t xml:space="preserve">;</w:t>
      </w:r>
    </w:p>
    <w:p>
      <w:pPr>
        <w:pStyle w:val="BodyText"/>
      </w:pPr>
      <w:r>
        <w:rPr>
          <w:i/>
          <w:iCs/>
        </w:rPr>
        <w:t xml:space="preserve">(ii) the speed error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Ω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 the weight error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"/>
              </m:rPr>
              <m:t>W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are uniformly</w:t>
      </w:r>
      <w:r>
        <w:rPr>
          <w:i/>
          <w:iCs/>
        </w:rPr>
        <w:t xml:space="preserve"> </w:t>
      </w:r>
      <w:r>
        <w:rPr>
          <w:i/>
          <w:iCs/>
        </w:rPr>
        <w:t xml:space="preserve">ultimately bounded, with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limsup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J</m:t>
                    </m:r>
                    <m:sSubSup>
                      <m:e>
                        <m:r>
                          <m:t>e</m:t>
                        </m:r>
                      </m:e>
                      <m:sub>
                        <m:r>
                          <m:t>Ω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Γ</m:t>
                        </m:r>
                      </m:den>
                    </m:f>
                    <m:r>
                      <m:rPr>
                        <m:sty m:val="p"/>
                      </m:rPr>
                      <m:t>∥</m:t>
                    </m:r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β</m:t>
                    </m:r>
                  </m:num>
                  <m:den>
                    <m:r>
                      <m:t>c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ε</m:t>
                            </m:r>
                          </m:e>
                        </m:acc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J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σ</m:t>
                    </m:r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W</m:t>
                            </m:r>
                          </m:e>
                        </m:acc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σ</m:t>
                    </m:r>
                    <m:r>
                      <m:t>Γ</m:t>
                    </m:r>
                  </m:e>
                </m:d>
                <m:r>
                  <m:rPr>
                    <m:sty m:val="p"/>
                  </m:rPr>
                  <m:t>;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(28)</w:t>
            </w:r>
          </w:p>
        </w:tc>
      </w:tr>
    </w:tbl>
    <w:p>
      <w:pPr>
        <w:pStyle w:val="BodyText"/>
        <w:ind w:firstLine="0"/>
      </w:pPr>
      <w:r>
        <w:rPr>
          <w:i/>
          <w:iCs/>
        </w:rPr>
        <w:t xml:space="preserve">(iii) the DC-link energy error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y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bounded and converges to a neighborhood of zero whose size is</w:t>
      </w:r>
      <w:r>
        <w:rPr>
          <w:i/>
          <w:iCs/>
        </w:rPr>
        <w:t xml:space="preserve"> </w:t>
      </w:r>
      <w:r>
        <w:rPr>
          <w:i/>
          <w:iCs/>
        </w:rPr>
        <w:t xml:space="preserve">proportional to the bound of</w:t>
      </w:r>
      <w:r>
        <w:rPr>
          <w:i/>
          <w:iCs/>
        </w:rPr>
        <w:t xml:space="preserve"> </w:t>
      </w:r>
      <m:oMath>
        <m:sSubSup>
          <m:e>
            <m:acc>
              <m:accPr>
                <m:chr m:val="̇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Hence all closed-loop signals remain bounded.</w:t>
      </w:r>
    </w:p>
    <w:p>
      <w:pPr>
        <w:pStyle w:val="BodyText"/>
        <w:spacing w:before="80" w:after="60"/>
        <w:ind w:firstLine="0"/>
        <w:jc w:val="both"/>
      </w:pPr>
      <w:r>
        <w:rPr>
          <w:i/>
          <w:iCs/>
        </w:rPr>
        <w:t xml:space="preserve">Proof.</w:t>
      </w:r>
      <w:r>
        <w:t xml:space="preserve"> </w:t>
      </w:r>
      <w:r>
        <w:t xml:space="preserve">(i) By Proposition 1,</w:t>
      </w:r>
      <w: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are non-increasing, so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are bounded, and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∥</m:t>
                    </m:r>
                  </m:e>
                </m:nary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s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H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(29)</w:t>
            </w:r>
          </w:p>
        </w:tc>
      </w:tr>
    </w:tbl>
    <w:p>
      <w:pPr>
        <w:pStyle w:val="BodyText"/>
        <w:ind w:firstLine="0"/>
      </w:pPr>
      <w:r>
        <w:t xml:space="preserve">Since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e</m:t>
                </m:r>
              </m:e>
            </m:acc>
          </m:e>
          <m:sub>
            <m:r>
              <m:t>s</m:t>
            </m:r>
          </m:sub>
        </m:sSub>
      </m:oMath>
      <w:r>
        <w:t xml:space="preserve"> </w:t>
      </w:r>
      <w:r>
        <w:t xml:space="preserve">is bounded by (20),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e</m:t>
            </m:r>
          </m:sub>
        </m:sSub>
      </m:oMath>
      <w:r>
        <w:t xml:space="preserve"> </w:t>
      </w:r>
      <w:r>
        <w:t xml:space="preserve">is uniformly continuous and Barbalat’s</w:t>
      </w:r>
      <w:r>
        <w:t xml:space="preserve"> </w:t>
      </w:r>
      <w:r>
        <w:t xml:space="preserve">lemma [30] gives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; the grid side is identical.</w:t>
      </w:r>
    </w:p>
    <w:p>
      <w:pPr>
        <w:pStyle w:val="BodyText"/>
      </w:pPr>
      <w:r>
        <w:t xml:space="preserve">(ii) With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p</m:t>
        </m:r>
        <m:sSub>
          <m:e>
            <m:r>
              <m:t>ψ</m:t>
            </m:r>
          </m:e>
          <m:sub>
            <m:r>
              <m:t>f</m:t>
            </m:r>
          </m:sub>
        </m:sSub>
      </m:oMath>
      <w:r>
        <w:t xml:space="preserve">, the generator torque is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T</m:t>
            </m:r>
          </m:e>
          <m:sub>
            <m:r>
              <m:t>e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r>
          <m:t>κ</m:t>
        </m:r>
        <m:sSub>
          <m:e>
            <m:r>
              <m:t>e</m:t>
            </m:r>
          </m:e>
          <m:sub>
            <m:r>
              <m:t>s</m:t>
            </m:r>
            <m:r>
              <m:t>q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q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component of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</m:oMath>
      <w:r>
        <w:t xml:space="preserve">. From (7), (15), (25) and</w:t>
      </w:r>
      <w:r>
        <w:t xml:space="preserve"> </w:t>
      </w:r>
      <w:r>
        <w:t xml:space="preserve">(26) with</w:t>
      </w:r>
      <w:r>
        <w:t xml:space="preserve"> </w:t>
      </w: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J</m:t>
                </m:r>
                <m:sSub>
                  <m:e>
                    <m:acc>
                      <m:accPr>
                        <m:chr m:val="̇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  <m:sSub>
                  <m:e>
                    <m:r>
                      <m:t>k</m:t>
                    </m:r>
                  </m:e>
                  <m:sub>
                    <m:r>
                      <m:t>11</m:t>
                    </m:r>
                  </m:sub>
                </m:sSub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  <m:sup>
                    <m:r>
                      <m:t>T</m:t>
                    </m:r>
                  </m:sup>
                </m:sSup>
                <m:r>
                  <m:rPr>
                    <m:sty m:val="b"/>
                  </m:rPr>
                  <m:t>Φ</m:t>
                </m:r>
                <m:r>
                  <m:rPr>
                    <m:sty m:val="p"/>
                  </m:rPr>
                  <m:t>+</m:t>
                </m:r>
                <m:r>
                  <m:t>ε</m:t>
                </m:r>
                <m:r>
                  <m:rPr>
                    <m:sty m:val="p"/>
                  </m:rPr>
                  <m:t>+</m:t>
                </m:r>
                <m:r>
                  <m:t>κ</m:t>
                </m:r>
                <m:sSub>
                  <m:e>
                    <m:r>
                      <m:t>e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(30)</w:t>
            </w:r>
          </w:p>
        </w:tc>
      </w:tr>
    </w:tbl>
    <w:p>
      <w:pPr>
        <w:pStyle w:val="BodyText"/>
        <w:ind w:firstLine="0"/>
      </w:pPr>
      <w:r>
        <w:t xml:space="preserve">Consider the composite Lyapunov function, made of the kinetic energy of the speed error and of the</w:t>
      </w:r>
      <w:r>
        <w:t xml:space="preserve"> </w:t>
      </w:r>
      <w:r>
        <w:t xml:space="preserve">energy of the weight error,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V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J</m:t>
                </m:r>
                <m:sSubSup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Γ</m:t>
                    </m:r>
                  </m:den>
                </m:f>
                <m:r>
                  <m:rPr>
                    <m:sty m:val="p"/>
                  </m:rPr>
                  <m:t>∥</m:t>
                </m:r>
                <m:acc>
                  <m:accPr>
                    <m:chr m:val="̃"/>
                  </m:accPr>
                  <m:e>
                    <m:r>
                      <m:rPr>
                        <m:sty m:val="b"/>
                      </m:rPr>
                      <m:t>W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(31)</w:t>
            </w:r>
          </w:p>
        </w:tc>
      </w:tr>
    </w:tbl>
    <w:p>
      <w:pPr>
        <w:pStyle w:val="BodyText"/>
        <w:ind w:firstLine="0"/>
      </w:pPr>
      <w:r>
        <w:t xml:space="preserve">Since</w:t>
      </w:r>
      <w:r>
        <w:t xml:space="preserve"> </w:t>
      </w:r>
      <m:oMath>
        <m:acc>
          <m:accPr>
            <m:chr m:val="̇"/>
          </m:accPr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̇"/>
          </m:accPr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</m:acc>
      </m:oMath>
      <w:r>
        <w:t xml:space="preserve"> </w:t>
      </w:r>
      <w:r>
        <w:t xml:space="preserve">and from (27),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̇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  <m:sSub>
                  <m:e>
                    <m:r>
                      <m:t>k</m:t>
                    </m:r>
                  </m:e>
                  <m:sub>
                    <m:r>
                      <m:t>11</m:t>
                    </m:r>
                  </m:sub>
                </m:sSub>
                <m:sSubSup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r>
                  <m:t>ε</m:t>
                </m:r>
                <m:r>
                  <m:rPr>
                    <m:sty m:val="p"/>
                  </m:rPr>
                  <m:t>+</m:t>
                </m:r>
                <m:r>
                  <m:t>κ</m:t>
                </m:r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sSub>
                  <m:e>
                    <m:r>
                      <m:t>e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σ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  <m:sup>
                    <m:r>
                      <m:t>T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W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(32)</w:t>
            </w:r>
          </w:p>
        </w:tc>
      </w:tr>
    </w:tbl>
    <w:p>
      <w:pPr>
        <w:pStyle w:val="BodyText"/>
        <w:ind w:firstLine="0"/>
      </w:pPr>
      <w:r>
        <w:t xml:space="preserve">With</w:t>
      </w:r>
      <w:r>
        <w:t xml:space="preserve"> </w:t>
      </w:r>
      <m:oMath>
        <m:sSub>
          <m:e>
            <m:r>
              <m:t>e</m:t>
            </m:r>
          </m:e>
          <m:sub>
            <m:r>
              <m:t>Ω</m:t>
            </m:r>
          </m:sub>
        </m:sSub>
        <m:r>
          <m:t>ε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J</m:t>
            </m:r>
            <m:sSub>
              <m:e>
                <m:r>
                  <m:t>k</m:t>
                </m:r>
              </m:e>
              <m:sub>
                <m:r>
                  <m:t>11</m:t>
                </m:r>
              </m:sub>
            </m:sSub>
          </m:num>
          <m:den>
            <m:r>
              <m:t>4</m:t>
            </m:r>
          </m:den>
        </m:f>
        <m:sSubSup>
          <m:e>
            <m:r>
              <m:t>e</m:t>
            </m:r>
          </m:e>
          <m:sub>
            <m:r>
              <m:t>Ω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acc>
                  <m:accPr>
                    <m:chr m:val="‾"/>
                  </m:accPr>
                  <m:e>
                    <m:r>
                      <m:t>ε</m:t>
                    </m:r>
                  </m:e>
                </m:acc>
              </m:e>
              <m:sup>
                <m:r>
                  <m:t>2</m:t>
                </m:r>
              </m:sup>
            </m:sSup>
          </m:num>
          <m:den>
            <m:r>
              <m:t>J</m:t>
            </m:r>
            <m:sSub>
              <m:e>
                <m:r>
                  <m:t>k</m:t>
                </m:r>
              </m:e>
              <m:sub>
                <m:r>
                  <m:t>11</m:t>
                </m:r>
              </m:sub>
            </m:sSub>
          </m:den>
        </m:f>
      </m:oMath>
      <w:r>
        <w:t xml:space="preserve">,</w:t>
      </w:r>
      <w:r>
        <w:t xml:space="preserve"> </w:t>
      </w:r>
      <m:oMath>
        <m:r>
          <m:t>κ</m:t>
        </m:r>
        <m:sSub>
          <m:e>
            <m:r>
              <m:t>e</m:t>
            </m:r>
          </m:e>
          <m:sub>
            <m:r>
              <m:t>Ω</m:t>
            </m:r>
          </m:sub>
        </m:sSub>
        <m:sSub>
          <m:e>
            <m:r>
              <m:t>e</m:t>
            </m:r>
          </m:e>
          <m:sub>
            <m:r>
              <m:t>s</m:t>
            </m:r>
            <m:r>
              <m:t>q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r>
              <m:t>J</m:t>
            </m:r>
            <m:sSub>
              <m:e>
                <m:r>
                  <m:t>k</m:t>
                </m:r>
              </m:e>
              <m:sub>
                <m:r>
                  <m:t>11</m:t>
                </m:r>
              </m:sub>
            </m:sSub>
          </m:num>
          <m:den>
            <m:r>
              <m:t>4</m:t>
            </m:r>
          </m:den>
        </m:f>
        <m:sSubSup>
          <m:e>
            <m:r>
              <m:t>e</m:t>
            </m:r>
          </m:e>
          <m:sub>
            <m:r>
              <m:t>Ω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κ</m:t>
                </m:r>
              </m:e>
              <m:sup>
                <m:r>
                  <m:t>2</m:t>
                </m:r>
              </m:sup>
            </m:sSup>
          </m:num>
          <m:den>
            <m:r>
              <m:t>J</m:t>
            </m:r>
            <m:sSub>
              <m:e>
                <m:r>
                  <m:t>k</m:t>
                </m:r>
              </m:e>
              <m:sub>
                <m:r>
                  <m:t>11</m:t>
                </m:r>
              </m:sub>
            </m:sSub>
          </m:den>
        </m:f>
        <m:sSubSup>
          <m:e>
            <m:r>
              <m:t>e</m:t>
            </m:r>
          </m:e>
          <m:sub>
            <m:r>
              <m:t>s</m:t>
            </m:r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p>
            <m:r>
              <m:t>T</m:t>
            </m:r>
          </m:sup>
        </m:sSup>
        <m:acc>
          <m:accPr>
            <m:chr m:val="̂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̇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J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σ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∥</m:t>
                </m:r>
                <m:acc>
                  <m:accPr>
                    <m:chr m:val="̃"/>
                  </m:accPr>
                  <m:e>
                    <m:r>
                      <m:rPr>
                        <m:sty m:val="b"/>
                      </m:rPr>
                      <m:t>W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δ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δ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δ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κ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J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den>
                </m:f>
                <m:sSubSup>
                  <m:e>
                    <m:r>
                      <m:t>e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  <m:sup>
                    <m: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(33)</w:t>
            </w:r>
          </w:p>
        </w:tc>
      </w:tr>
    </w:tbl>
    <w:p>
      <w:pPr>
        <w:pStyle w:val="BodyText"/>
        <w:ind w:firstLine="0"/>
      </w:pPr>
      <w:r>
        <w:t xml:space="preserve">By the comparison lemma,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≤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c</m:t>
            </m:r>
            <m:r>
              <m:t>t</m:t>
            </m:r>
          </m:sup>
        </m:sSup>
        <m:r>
          <m:rPr>
            <m:sty m:val="p"/>
          </m:rPr>
          <m:t>+</m:t>
        </m:r>
        <m:r>
          <m:t>β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c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τ</m:t>
                    </m:r>
                  </m:e>
                </m:d>
              </m:sup>
            </m:sSup>
          </m:e>
        </m:nary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</m:e>
        </m:d>
        <m:r>
          <m:t> </m:t>
        </m:r>
        <m:r>
          <m:t>d</m:t>
        </m:r>
        <m:r>
          <m:t>τ</m:t>
        </m:r>
      </m:oMath>
      <w:r>
        <w:t xml:space="preserve">. By (29),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 and integrable, so the last term vanishes 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which gives (28).</w:t>
      </w:r>
    </w:p>
    <w:p>
      <w:pPr>
        <w:pStyle w:val="BodyText"/>
      </w:pPr>
      <w:r>
        <w:t xml:space="preserve">(iii) With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v</m:t>
            </m:r>
          </m:e>
          <m:sub>
            <m:r>
              <m:t>g</m:t>
            </m:r>
            <m:r>
              <m:t>d</m:t>
            </m:r>
          </m:sub>
        </m:sSub>
        <m:sSub>
          <m:e>
            <m:r>
              <m:t>i</m:t>
            </m:r>
          </m:e>
          <m:sub>
            <m:r>
              <m:t>g</m:t>
            </m:r>
            <m:r>
              <m:t>d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g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v</m:t>
            </m:r>
          </m:e>
          <m:sub>
            <m:r>
              <m:t>g</m:t>
            </m:r>
            <m:r>
              <m:t>d</m:t>
            </m:r>
          </m:sub>
        </m:sSub>
        <m:sSub>
          <m:e>
            <m:r>
              <m:t>e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, (16) and (17) give</w:t>
      </w:r>
      <w:r>
        <w:t xml:space="preserve"> </w:t>
      </w:r>
      <m:oMath>
        <m:acc>
          <m:accPr>
            <m:chr m:val="̈"/>
          </m:accPr>
          <m:e>
            <m:r>
              <m:t>η</m:t>
            </m:r>
          </m:e>
        </m:acc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21</m:t>
            </m:r>
          </m:sub>
        </m:sSub>
        <m:acc>
          <m:accPr>
            <m:chr m:val="̇"/>
          </m:accPr>
          <m:e>
            <m:r>
              <m:t>η</m:t>
            </m:r>
          </m:e>
        </m:acc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22</m:t>
            </m:r>
          </m:sub>
        </m:sSub>
        <m:r>
          <m:t>η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v</m:t>
            </m:r>
          </m:e>
          <m:sub>
            <m:r>
              <m:t>g</m:t>
            </m:r>
            <m:r>
              <m:t>d</m:t>
            </m:r>
          </m:sub>
        </m:sSub>
        <m:sSub>
          <m:e>
            <m:r>
              <m:t>e</m:t>
            </m:r>
          </m:e>
          <m:sub>
            <m:r>
              <m:t>g</m:t>
            </m:r>
            <m:r>
              <m:t>d</m:t>
            </m:r>
          </m:sub>
        </m:sSub>
        <m:r>
          <m:rPr>
            <m:sty m:val="p"/>
          </m:rPr>
          <m:t>−</m:t>
        </m:r>
        <m:sSubSup>
          <m:e>
            <m:acc>
              <m:accPr>
                <m:chr m:val="̇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∫</m:t>
        </m:r>
        <m:sSub>
          <m:e>
            <m:r>
              <m:t>e</m:t>
            </m:r>
          </m:e>
          <m:sub>
            <m:r>
              <m:t>y</m:t>
            </m:r>
          </m:sub>
        </m:sSub>
        <m:r>
          <m:t> </m:t>
        </m:r>
        <m:r>
          <m:t>d</m:t>
        </m:r>
        <m:r>
          <m:t>t</m:t>
        </m:r>
      </m:oMath>
      <w:r>
        <w:t xml:space="preserve">. The</w:t>
      </w:r>
      <w:r>
        <w:t xml:space="preserve"> </w:t>
      </w:r>
      <w:r>
        <w:t xml:space="preserve">polynomial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21</m:t>
            </m:r>
          </m:sub>
        </m:sSub>
        <m:r>
          <m:t>s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Hurwitz,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  <m:r>
              <m:t>d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̇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f</m:t>
            </m:r>
          </m:sub>
        </m:sSub>
        <m:sSubSup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  <m:sup>
            <m:r>
              <m:rPr>
                <m:sty m:val="p"/>
              </m:rPr>
              <m:t>*</m:t>
            </m:r>
            <m:r>
              <m:t>T</m:t>
            </m:r>
          </m:sup>
        </m:sSubSup>
        <m:sSubSup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i</m:t>
                </m:r>
              </m:e>
            </m:acc>
          </m:e>
          <m:sub>
            <m:r>
              <m:t>g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 bounded, which proves (iii).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  <w:spacing w:before="80" w:after="60"/>
        <w:ind w:firstLine="0"/>
        <w:jc w:val="both"/>
      </w:pPr>
      <w:r>
        <w:rPr>
          <w:b/>
          <w:bCs/>
        </w:rPr>
        <w:t xml:space="preserve">Remark 1.</w:t>
      </w:r>
      <w:r>
        <w:t xml:space="preserve"> </w:t>
      </w:r>
      <w:r>
        <w:rPr>
          <w:i/>
          <w:iCs/>
        </w:rPr>
        <w:t xml:space="preserve">The ultimate bound (28) decreases when the approximation error</w:t>
      </w:r>
      <w:r>
        <w:rPr>
          <w:i/>
          <w:iCs/>
        </w:rPr>
        <w:t xml:space="preserve"> </w:t>
      </w:r>
      <m:oMath>
        <m:acc>
          <m:accPr>
            <m:chr m:val="‾"/>
          </m:accPr>
          <m:e>
            <m:r>
              <m:t>ε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decreases.</w:t>
      </w:r>
      <w:r>
        <w:rPr>
          <w:i/>
          <w:iCs/>
        </w:rPr>
        <w:t xml:space="preserve"> </w:t>
      </w:r>
      <w:r>
        <w:rPr>
          <w:i/>
          <w:iCs/>
        </w:rPr>
        <w:t xml:space="preserve">It also decreases when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increases, but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multiplies the speed measurement noise by</w:t>
      </w:r>
      <w:r>
        <w:rPr>
          <w:i/>
          <w:iCs/>
        </w:rPr>
        <w:t xml:space="preserve"> </w:t>
      </w:r>
      <m:oMath>
        <m:r>
          <m:t>J</m:t>
        </m:r>
        <m:sSub>
          <m:e>
            <m:r>
              <m:t>k</m:t>
            </m:r>
          </m:e>
          <m:sub>
            <m:r>
              <m:t>11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in (15). The network reduces the speed error without increasing this gain. The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does not cover the sampling, the saturations and the measurement noise; their effect is</w:t>
      </w:r>
      <w:r>
        <w:rPr>
          <w:i/>
          <w:iCs/>
        </w:rPr>
        <w:t xml:space="preserve"> </w:t>
      </w:r>
      <w:r>
        <w:rPr>
          <w:i/>
          <w:iCs/>
        </w:rPr>
        <w:t xml:space="preserve">evaluated by simulation in Section 8.</w:t>
      </w:r>
    </w:p>
    <w:bookmarkEnd w:id="42"/>
    <w:bookmarkStart w:id="49" w:name="simulation-results-and-discussion"/>
    <w:p>
      <w:pPr>
        <w:pStyle w:val="Heading1"/>
      </w:pPr>
      <w:r>
        <w:t xml:space="preserve">8. Simulation Results and Discussion</w:t>
      </w:r>
    </w:p>
    <w:bookmarkStart w:id="43" w:name="simulation-setup"/>
    <w:p>
      <w:pPr>
        <w:pStyle w:val="Heading2"/>
      </w:pPr>
      <w:r>
        <w:t xml:space="preserve">8.1. Simulation Setup</w:t>
      </w:r>
    </w:p>
    <w:p>
      <w:pPr>
        <w:pStyle w:val="FirstParagraph"/>
      </w:pPr>
      <w:r>
        <w:t xml:space="preserve">The system of Section 2 and the controller were implemented in MATLAB with a fixed-step fourth-order</w:t>
      </w:r>
      <w:r>
        <w:t xml:space="preserve"> </w:t>
      </w:r>
      <w:r>
        <w:t xml:space="preserve">Runge–Kutta solver at the step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(Table 1); a Simulink version built with standard</w:t>
      </w:r>
      <w:r>
        <w:t xml:space="preserve"> </w:t>
      </w:r>
      <w:r>
        <w:t xml:space="preserve">blocks was used to cross-check the model. To obtain realistic results, the controller only uses measured</w:t>
      </w:r>
      <w:r>
        <w:t xml:space="preserve"> </w:t>
      </w:r>
      <w:r>
        <w:t xml:space="preserve">signals: white noise is added to the current measurements (standard deviation 5 A), to the DC voltage and</w:t>
      </w:r>
      <w:r>
        <w:t xml:space="preserve"> </w:t>
      </w:r>
      <w:r>
        <w:t xml:space="preserve">grid voltage measurements (1 V) and to the encoder speed (2 mrad/s, filtered with a 5-ms time constant),</w:t>
      </w:r>
      <w:r>
        <w:t xml:space="preserve"> </w:t>
      </w:r>
      <w:r>
        <w:t xml:space="preserve">the feedforward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t xml:space="preserve">and the grid voltage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 </w:t>
      </w:r>
      <w:r>
        <w:t xml:space="preserve">used in (17) are filtered with a 2-ms</w:t>
      </w:r>
      <w:r>
        <w:t xml:space="preserve"> </w:t>
      </w:r>
      <w:r>
        <w:t xml:space="preserve">time constant, and the anemometer is modeled by a first-order lag of 1 s. The grid voltage contains</w:t>
      </w:r>
      <w:r>
        <w:t xml:space="preserve"> </w:t>
      </w:r>
      <w:r>
        <w:t xml:space="preserve">background harmonics of order 5 (2 %, negative sequence) and 7 (1.5 %, positive sequence).</w:t>
      </w:r>
    </w:p>
    <w:p>
      <w:pPr>
        <w:pStyle w:val="BodyText"/>
      </w:pPr>
      <w:r>
        <w:t xml:space="preserve">Four cases are considered: (1) step wind with nominal parameters; (2) random wind with nominal</w:t>
      </w:r>
      <w:r>
        <w:t xml:space="preserve"> </w:t>
      </w:r>
      <w:r>
        <w:t xml:space="preserve">parameters; (3) random wind with parameter uncertainty, the true plant having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×</m:t>
        </m:r>
        <m:r>
          <m:t>1.1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×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×</m:t>
        </m:r>
        <m:r>
          <m:t>1.5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×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ψ</m:t>
            </m:r>
          </m:e>
          <m:sub>
            <m:r>
              <m:t>f</m:t>
            </m:r>
          </m:sub>
        </m:sSub>
        <m:r>
          <m:rPr>
            <m:sty m:val="p"/>
          </m:rPr>
          <m:t>×</m:t>
        </m:r>
        <m:r>
          <m:t>0.95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×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×</m:t>
        </m:r>
        <m:r>
          <m:t>1.25</m:t>
        </m:r>
      </m:oMath>
      <w:r>
        <w:t xml:space="preserve">; (4) a 50 % grid</w:t>
      </w:r>
      <w:r>
        <w:t xml:space="preserve"> </w:t>
      </w:r>
      <w:r>
        <w:t xml:space="preserve">voltage dip between 25 and 25.15 s, applied in the simulation of case 3. Each case is simulated over</w:t>
      </w:r>
      <w:r>
        <w:t xml:space="preserve"> </w:t>
      </w:r>
      <w:r>
        <w:t xml:space="preserve">40 s, without the network (nominal FBC–PBC controller) and with the network, with the same gains. The wind</w:t>
      </w:r>
      <w:r>
        <w:t xml:space="preserve"> </w:t>
      </w:r>
      <w:r>
        <w:t xml:space="preserve">profiles are shown in Figure 5. The step profile is 9 m/s, then 11 m/s at 10 s and 8 m/s at</w:t>
      </w:r>
      <w:r>
        <w:t xml:space="preserve"> </w:t>
      </w:r>
      <w:r>
        <w:t xml:space="preserve">25 s [8]. The random profile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m</m:t>
                    </m:r>
                    <m:r>
                      <m:t>e</m:t>
                    </m:r>
                    <m:r>
                      <m:t>a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3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  <m:r>
                      <m:t>u</m:t>
                    </m:r>
                    <m:r>
                      <m:t>r</m:t>
                    </m:r>
                    <m:r>
                      <m:t>b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(34)</w:t>
            </w:r>
          </w:p>
        </w:tc>
      </w:tr>
    </w:tbl>
    <w:p>
      <w:pPr>
        <w:pStyle w:val="BodyText"/>
        <w:ind w:firstLine="0"/>
      </w:pP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8.5</m:t>
        </m:r>
      </m:oMath>
      <w:r>
        <w:t xml:space="preserve"> m/s,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 </m:t>
            </m:r>
            <m:r>
              <m:t>0.2</m:t>
            </m:r>
            <m:r>
              <m:rPr>
                <m:sty m:val="p"/>
              </m:rPr>
              <m:t>,</m:t>
            </m:r>
            <m:r>
              <m:t> </m:t>
            </m:r>
            <m:r>
              <m:t>0.3</m:t>
            </m:r>
          </m:e>
        </m:d>
      </m:oMath>
      <w:r>
        <w:t xml:space="preserve"> m/s,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0.03</m:t>
            </m:r>
            <m:r>
              <m:rPr>
                <m:sty m:val="p"/>
              </m:rPr>
              <m:t>,</m:t>
            </m:r>
            <m:r>
              <m:t> </m:t>
            </m:r>
            <m:r>
              <m:t>0.16</m:t>
            </m:r>
            <m:r>
              <m:rPr>
                <m:sty m:val="p"/>
              </m:rPr>
              <m:t>,</m:t>
            </m:r>
            <m:r>
              <m:t> </m:t>
            </m:r>
            <m:r>
              <m:t>0.17</m:t>
            </m:r>
          </m:e>
        </m:d>
      </m:oMath>
      <w:r>
        <w:t xml:space="preserve"> Hz [27], and a</w:t>
      </w:r>
      <w:r>
        <w:t xml:space="preserve"> </w:t>
      </w:r>
      <w:r>
        <w:t xml:space="preserve">first-order coloured turbulence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u</m:t>
            </m:r>
            <m:r>
              <m:t>r</m:t>
            </m:r>
            <m:r>
              <m:t>b</m:t>
            </m:r>
          </m:sub>
        </m:sSub>
      </m:oMath>
      <w:r>
        <w:t xml:space="preserve"> </w:t>
      </w:r>
      <w:r>
        <w:t xml:space="preserve">with a standard deviation of 0.5 m/s and a correlation time of</w:t>
      </w:r>
      <w:r>
        <w:t xml:space="preserve"> </w:t>
      </w:r>
      <w:r>
        <w:t xml:space="preserve">1.5 s; it remains between 6.0 and 10.9 m/s.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182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5.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Wind profiles: (</w:t>
      </w:r>
      <w:r>
        <w:rPr>
          <w:rFonts w:ascii="Times New Roman" w:hAnsi="Times New Roman"/>
          <w:b/>
          <w:bCs/>
          <w:sz w:val="20"/>
        </w:rPr>
        <w:t xml:space="preserve">a</w:t>
      </w:r>
      <w:r>
        <w:rPr>
          <w:rFonts w:ascii="Times New Roman" w:hAnsi="Times New Roman"/>
          <w:sz w:val="20"/>
        </w:rPr>
        <w:t xml:space="preserve">) step wind; (</w:t>
      </w:r>
      <w:r>
        <w:rPr>
          <w:rFonts w:ascii="Times New Roman" w:hAnsi="Times New Roman"/>
          <w:b/>
          <w:bCs/>
          <w:sz w:val="20"/>
        </w:rPr>
        <w:t xml:space="preserve">b</w:t>
      </w:r>
      <w:r>
        <w:rPr>
          <w:rFonts w:ascii="Times New Roman" w:hAnsi="Times New Roman"/>
          <w:sz w:val="20"/>
        </w:rPr>
        <w:t xml:space="preserve">) random wind.</w:t>
      </w:r>
    </w:p>
    <w:p>
      <w:pPr>
        <w:pStyle w:val="BodyText"/>
      </w:pPr>
      <w:r>
        <w:t xml:space="preserve">The speed tracking is evaluated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 s by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bSup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Ω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e>
                          </m:nary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k</m:t>
                              </m:r>
                            </m:e>
                          </m:d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Ω</m:t>
                                  </m:r>
                                </m:sub>
                              </m:sSub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k</m:t>
                                  </m:r>
                                </m:e>
                              </m:d>
                            </m:e>
                          </m:d>
                        </m:e>
                      </m:nary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max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limLow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</m:e>
                        <m:lim>
                          <m:r>
                            <m:t>k</m:t>
                          </m:r>
                        </m:lim>
                      </m:limLow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Ω</m:t>
                              </m:r>
                            </m:sub>
                          </m:sSub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k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∫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Ω</m:t>
                              </m:r>
                            </m:sub>
                          </m:sSub>
                        </m:e>
                      </m:d>
                      <m:r>
                        <m:t> </m:t>
                      </m:r>
                      <m:r>
                        <m:t>d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∫</m:t>
                      </m:r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Ω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t> </m:t>
                      </m:r>
                      <m:r>
                        <m:t>d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(35)</w:t>
            </w:r>
          </w:p>
        </w:tc>
      </w:tr>
    </w:tbl>
    <w:bookmarkEnd w:id="43"/>
    <w:bookmarkStart w:id="44" w:name="case-1-step-wind"/>
    <w:p>
      <w:pPr>
        <w:pStyle w:val="Heading2"/>
      </w:pPr>
      <w:r>
        <w:t xml:space="preserve">8.2. Case 1: Step Wind</w:t>
      </w:r>
    </w:p>
    <w:p>
      <w:pPr>
        <w:pStyle w:val="FirstParagraph"/>
      </w:pPr>
      <w:r>
        <w:t xml:space="preserve">Figure 6a shows that the measured rotor speed follows the MPPT reference from 1.82 to 2.23</w:t>
      </w:r>
      <w:r>
        <w:t xml:space="preserve"> </w:t>
      </w:r>
      <w:r>
        <w:t xml:space="preserve">and then 1.62 rad/s. After each wind step, the speed error returns within 2 mrad/s in 1.9 s with the</w:t>
      </w:r>
      <w:r>
        <w:t xml:space="preserve"> </w:t>
      </w:r>
      <w:r>
        <w:t xml:space="preserve">network, instead of 3.9 to 4.4 s without it. Figure 8 shows that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 </w:t>
      </w:r>
      <w:r>
        <w:t xml:space="preserve">follow their references during the transients, while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  <m:r>
              <m:t>q</m:t>
            </m:r>
          </m:sub>
        </m:sSub>
      </m:oMath>
      <w:r>
        <w:t xml:space="preserve"> </w:t>
      </w:r>
      <w:r>
        <w:t xml:space="preserve">remain around zero with the</w:t>
      </w:r>
      <w:r>
        <w:t xml:space="preserve"> </w:t>
      </w:r>
      <w:r>
        <w:t xml:space="preserve">measurement noise and, for the grid current, the 300 Hz ripple due to the grid harmonics.</w:t>
      </w:r>
      <w:r>
        <w:t xml:space="preserve"> </w:t>
      </w:r>
      <w:r>
        <w:t xml:space="preserve">Figure 9a shows that the electromagnetic torque follows its reference; the torque ripple</w:t>
      </w:r>
      <w:r>
        <w:t xml:space="preserve"> </w:t>
      </w:r>
      <w:r>
        <w:t xml:space="preserve">is 0.55 % of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(standard deviation). The difference between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accelerates or</w:t>
      </w:r>
      <w:r>
        <w:t xml:space="preserve"> </w:t>
      </w:r>
      <w:r>
        <w:t xml:space="preserve">decelerates the rotor towards the new optimal speed. Figure 10a shows that the DC-link</w:t>
      </w:r>
      <w:r>
        <w:t xml:space="preserve"> </w:t>
      </w:r>
      <w:r>
        <w:t xml:space="preserve">voltage stays within 7 V (0.6 %) of 1200 V during the steps, thanks to the feedforward of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6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6.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Rotor speed tracking: (</w:t>
      </w:r>
      <w:r>
        <w:rPr>
          <w:rFonts w:ascii="Times New Roman" w:hAnsi="Times New Roman"/>
          <w:b/>
          <w:bCs/>
          <w:sz w:val="20"/>
        </w:rPr>
        <w:t xml:space="preserve">a</w:t>
      </w:r>
      <w:r>
        <w:rPr>
          <w:rFonts w:ascii="Times New Roman" w:hAnsi="Times New Roman"/>
          <w:sz w:val="20"/>
        </w:rPr>
        <w:t xml:space="preserve">) step wind; (</w:t>
      </w:r>
      <w:r>
        <w:rPr>
          <w:rFonts w:ascii="Times New Roman" w:hAnsi="Times New Roman"/>
          <w:b/>
          <w:bCs/>
          <w:sz w:val="20"/>
        </w:rPr>
        <w:t xml:space="preserve">b</w:t>
      </w:r>
      <w:r>
        <w:rPr>
          <w:rFonts w:ascii="Times New Roman" w:hAnsi="Times New Roman"/>
          <w:sz w:val="20"/>
        </w:rPr>
        <w:t xml:space="preserve">) random wind with parameter uncertainty; (</w:t>
      </w:r>
      <w:r>
        <w:rPr>
          <w:rFonts w:ascii="Times New Roman" w:hAnsi="Times New Roman"/>
          <w:b/>
          <w:bCs/>
          <w:sz w:val="20"/>
        </w:rPr>
        <w:t xml:space="preserve">c</w:t>
      </w:r>
      <w:r>
        <w:rPr>
          <w:rFonts w:ascii="Times New Roman" w:hAnsi="Times New Roman"/>
          <w:sz w:val="20"/>
        </w:rPr>
        <w:t xml:space="preserve">) speed error without and with the RBF network in case 3; (</w:t>
      </w:r>
      <w:r>
        <w:rPr>
          <w:rFonts w:ascii="Times New Roman" w:hAnsi="Times New Roman"/>
          <w:b/>
          <w:bCs/>
          <w:sz w:val="20"/>
        </w:rPr>
        <w:t xml:space="preserve">d</w:t>
      </w:r>
      <w:r>
        <w:rPr>
          <w:rFonts w:ascii="Times New Roman" w:hAnsi="Times New Roman"/>
          <w:sz w:val="20"/>
        </w:rPr>
        <w:t xml:space="preserve">) cumulative IAE in cases 1 to 3.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329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c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7.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Random wind with nominal parameters: power coefficient (</w:t>
      </w:r>
      <w:r>
        <w:rPr>
          <w:rFonts w:ascii="Times New Roman" w:hAnsi="Times New Roman"/>
          <w:b/>
          <w:bCs/>
          <w:sz w:val="20"/>
        </w:rPr>
        <w:t xml:space="preserve">top</w:t>
      </w:r>
      <w:r>
        <w:rPr>
          <w:rFonts w:ascii="Times New Roman" w:hAnsi="Times New Roman"/>
          <w:sz w:val="20"/>
        </w:rPr>
        <w:t xml:space="preserve">) and maximum available, captured and injected powers (</w:t>
      </w:r>
      <w:r>
        <w:rPr>
          <w:rFonts w:ascii="Times New Roman" w:hAnsi="Times New Roman"/>
          <w:b/>
          <w:bCs/>
          <w:sz w:val="20"/>
        </w:rPr>
        <w:t xml:space="preserve">bottom</w:t>
      </w:r>
      <w:r>
        <w:rPr>
          <w:rFonts w:ascii="Times New Roman" w:hAnsi="Times New Roman"/>
          <w:sz w:val="20"/>
        </w:rPr>
        <w:t xml:space="preserve">).</w:t>
      </w:r>
    </w:p>
    <w:bookmarkEnd w:id="44"/>
    <w:bookmarkStart w:id="45" w:name="case-2-random-wind"/>
    <w:p>
      <w:pPr>
        <w:pStyle w:val="Heading2"/>
      </w:pPr>
      <w:r>
        <w:t xml:space="preserve">8.3. Case 2: Random Wind</w:t>
      </w:r>
    </w:p>
    <w:p>
      <w:pPr>
        <w:pStyle w:val="FirstParagraph"/>
      </w:pPr>
      <w:r>
        <w:t xml:space="preserve">Figure 7 shows the MPPT performance under random wind. The power coefficient stays close to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, except during the fast wind decrease around 22 s, where the inertia prevents the rotor from</w:t>
      </w:r>
      <w:r>
        <w:t xml:space="preserve"> </w:t>
      </w:r>
      <w:r>
        <w:t xml:space="preserve">slowing down quickly. The captured power follows the maximum available power, and the difference between</w:t>
      </w:r>
      <w:r>
        <w:t xml:space="preserve"> </w:t>
      </w:r>
      <w:r>
        <w:t xml:space="preserve">the captured and the injected powers corresponds to the kinetic energy stored in or released by the rotor.</w:t>
      </w:r>
      <w:r>
        <w:t xml:space="preserve"> </w:t>
      </w:r>
      <w:r>
        <w:t xml:space="preserve">The MPPT efficiency, i.e., the ratio between the captured energy and the maximum available energy, is</w:t>
      </w:r>
      <w:r>
        <w:t xml:space="preserve"> </w:t>
      </w:r>
      <w:r>
        <w:t xml:space="preserve">97.7 %. Figure 12 shows the grid current at 20 s: its THD is 3.9 %, mainly due to the 5th</w:t>
      </w:r>
      <w:r>
        <w:t xml:space="preserve"> </w:t>
      </w:r>
      <w:r>
        <w:t xml:space="preserve">(3.6 %) and 7th (1.6 %) harmonics imposed by the grid voltage, and every harmonic is below the limit</w:t>
      </w:r>
      <w:r>
        <w:t xml:space="preserve"> </w:t>
      </w:r>
      <w:r>
        <w:t xml:space="preserve">of IEEE Std 519 [31].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3565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8.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Step wind, control with the RBF network: references (dashed) and measured values (solid) of the stator and grid currents.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3565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q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9.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</w:t>
      </w:r>
      <w:r>
        <w:rPr>
          <w:rFonts w:ascii="Times New Roman" w:hAnsi="Times New Roman"/>
          <w:b/>
          <w:bCs/>
          <w:sz w:val="20"/>
        </w:rPr>
        <w:t xml:space="preserve">a</w:t>
      </w:r>
      <w:r>
        <w:rPr>
          <w:rFonts w:ascii="Times New Roman" w:hAnsi="Times New Roman"/>
          <w:sz w:val="20"/>
        </w:rPr>
        <w:t xml:space="preserve">) Electromagnetic torque, its reference and aerodynamic torque under step wind, with an enlarged view of the torque ripple; (</w:t>
      </w:r>
      <w:r>
        <w:rPr>
          <w:rFonts w:ascii="Times New Roman" w:hAnsi="Times New Roman"/>
          <w:b/>
          <w:bCs/>
          <w:sz w:val="20"/>
        </w:rPr>
        <w:t xml:space="preserve">b</w:t>
      </w:r>
      <w:r>
        <w:rPr>
          <w:rFonts w:ascii="Times New Roman" w:hAnsi="Times New Roman"/>
          <w:sz w:val="20"/>
        </w:rPr>
        <w:t xml:space="preserve">) lumped uncertainty</w:t>
      </w:r>
      <w:r>
        <w:rPr>
          <w:rFonts w:ascii="Times New Roman" w:hAnsi="Times New Roman"/>
          <w:sz w:val="20"/>
        </w:rPr>
        <w:t xml:space="preserve"> </w:t>
      </w:r>
      <m:oMath>
        <m:r>
          <m:t>Δ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and its RBF estimate</w:t>
      </w:r>
      <w:r>
        <w:rPr>
          <w:rFonts w:ascii="Times New Roman" w:hAnsi="Times New Roman"/>
          <w:sz w:val="20"/>
        </w:rP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 case 3.</w:t>
      </w:r>
    </w:p>
    <w:bookmarkEnd w:id="45"/>
    <w:bookmarkStart w:id="46" w:name="case-3-parameter-uncertainty"/>
    <w:p>
      <w:pPr>
        <w:pStyle w:val="Heading2"/>
      </w:pPr>
      <w:r>
        <w:t xml:space="preserve">8.4. Case 3: Parameter Uncertainty</w:t>
      </w:r>
    </w:p>
    <w:p>
      <w:pPr>
        <w:pStyle w:val="FirstParagraph"/>
      </w:pPr>
      <w:r>
        <w:t xml:space="preserve">With the parameter mismatch, the rotor speed still follows its reference (Figure 6b). The</w:t>
      </w:r>
      <w:r>
        <w:t xml:space="preserve"> </w:t>
      </w:r>
      <w:r>
        <w:t xml:space="preserve">speed error is smaller with the network (Figure 6c), and the cumulative IAE grows more</w:t>
      </w:r>
      <w:r>
        <w:t xml:space="preserve"> </w:t>
      </w:r>
      <w:r>
        <w:t xml:space="preserve">slowly in the three cases (Figure 6d). Figure 9b shows that the network output</w:t>
      </w:r>
      <w:r>
        <w:t xml:space="preserve"> </w:t>
      </w:r>
      <w:r>
        <w:t xml:space="preserve">follows the lumped uncertainty: their mean values are 82.5 and 83.4 kN</w:t>
      </w:r>
      <m:oMath>
        <m:r>
          <m:rPr>
            <m:sty m:val="p"/>
          </m:rPr>
          <m:t>⋅</m:t>
        </m:r>
      </m:oMath>
      <w:r>
        <w:t xml:space="preserve">m, i.e., about 14 % of the</w:t>
      </w:r>
      <w:r>
        <w:t xml:space="preserve"> </w:t>
      </w:r>
      <w:r>
        <w:t xml:space="preserve">aerodynamic torque. Figure 11a shows that the injected active power follows the wind power and</w:t>
      </w:r>
      <w:r>
        <w:t xml:space="preserve"> </w:t>
      </w:r>
      <w:r>
        <w:t xml:space="preserve">that the reactive power remains around zero; the power factor is 1.00.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5485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lin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10.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DC-link voltage under step wind (</w:t>
      </w:r>
      <w:r>
        <w:rPr>
          <w:rFonts w:ascii="Times New Roman" w:hAnsi="Times New Roman"/>
          <w:b/>
          <w:bCs/>
          <w:sz w:val="20"/>
        </w:rPr>
        <w:t xml:space="preserve">a</w:t>
      </w:r>
      <w:r>
        <w:rPr>
          <w:rFonts w:ascii="Times New Roman" w:hAnsi="Times New Roman"/>
          <w:sz w:val="20"/>
        </w:rPr>
        <w:t xml:space="preserve">), and grid voltage (</w:t>
      </w:r>
      <w:r>
        <w:rPr>
          <w:rFonts w:ascii="Times New Roman" w:hAnsi="Times New Roman"/>
          <w:b/>
          <w:bCs/>
          <w:sz w:val="20"/>
        </w:rPr>
        <w:t xml:space="preserve">b</w:t>
      </w:r>
      <w:r>
        <w:rPr>
          <w:rFonts w:ascii="Times New Roman" w:hAnsi="Times New Roman"/>
          <w:sz w:val="20"/>
        </w:rPr>
        <w:t xml:space="preserve">), grid current (</w:t>
      </w:r>
      <w:r>
        <w:rPr>
          <w:rFonts w:ascii="Times New Roman" w:hAnsi="Times New Roman"/>
          <w:b/>
          <w:bCs/>
          <w:sz w:val="20"/>
        </w:rPr>
        <w:t xml:space="preserve">c</w:t>
      </w:r>
      <w:r>
        <w:rPr>
          <w:rFonts w:ascii="Times New Roman" w:hAnsi="Times New Roman"/>
          <w:sz w:val="20"/>
        </w:rPr>
        <w:t xml:space="preserve">) and DC-link voltage (</w:t>
      </w:r>
      <w:r>
        <w:rPr>
          <w:rFonts w:ascii="Times New Roman" w:hAnsi="Times New Roman"/>
          <w:b/>
          <w:bCs/>
          <w:sz w:val="20"/>
        </w:rPr>
        <w:t xml:space="preserve">d</w:t>
      </w:r>
      <w:r>
        <w:rPr>
          <w:rFonts w:ascii="Times New Roman" w:hAnsi="Times New Roman"/>
          <w:sz w:val="20"/>
        </w:rPr>
        <w:t xml:space="preserve">) during the 50 % voltage dip of case 4.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32914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q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11.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Active and reactive grid powers in cases 3 and 4: (</w:t>
      </w:r>
      <w:r>
        <w:rPr>
          <w:rFonts w:ascii="Times New Roman" w:hAnsi="Times New Roman"/>
          <w:b/>
          <w:bCs/>
          <w:sz w:val="20"/>
        </w:rPr>
        <w:t xml:space="preserve">a</w:t>
      </w:r>
      <w:r>
        <w:rPr>
          <w:rFonts w:ascii="Times New Roman" w:hAnsi="Times New Roman"/>
          <w:sz w:val="20"/>
        </w:rPr>
        <w:t xml:space="preserve">) whole simulation; (</w:t>
      </w:r>
      <w:r>
        <w:rPr>
          <w:rFonts w:ascii="Times New Roman" w:hAnsi="Times New Roman"/>
          <w:b/>
          <w:bCs/>
          <w:sz w:val="20"/>
        </w:rPr>
        <w:t xml:space="preserve">b</w:t>
      </w:r>
      <w:r>
        <w:rPr>
          <w:rFonts w:ascii="Times New Roman" w:hAnsi="Times New Roman"/>
          <w:sz w:val="20"/>
        </w:rPr>
        <w:t xml:space="preserve">) enlarged view of the voltage dip.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22857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12.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Random wind,</w:t>
      </w:r>
      <w:r>
        <w:rPr>
          <w:rFonts w:ascii="Times New Roman" w:hAnsi="Times New Roman"/>
          <w:sz w:val="20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/>
          <w:sz w:val="20"/>
        </w:rPr>
        <w:t xml:space="preserve"> s: (</w:t>
      </w:r>
      <w:r>
        <w:rPr>
          <w:rFonts w:ascii="Times New Roman" w:hAnsi="Times New Roman"/>
          <w:b/>
          <w:bCs/>
          <w:sz w:val="20"/>
        </w:rPr>
        <w:t xml:space="preserve">a</w:t>
      </w:r>
      <w:r>
        <w:rPr>
          <w:rFonts w:ascii="Times New Roman" w:hAnsi="Times New Roman"/>
          <w:sz w:val="20"/>
        </w:rPr>
        <w:t xml:space="preserve">) phase-</w:t>
      </w:r>
      <m:oMath>
        <m:r>
          <m:t>a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grid current; (</w:t>
      </w:r>
      <w:r>
        <w:rPr>
          <w:rFonts w:ascii="Times New Roman" w:hAnsi="Times New Roman"/>
          <w:b/>
          <w:bCs/>
          <w:sz w:val="20"/>
        </w:rPr>
        <w:t xml:space="preserve">b</w:t>
      </w:r>
      <w:r>
        <w:rPr>
          <w:rFonts w:ascii="Times New Roman" w:hAnsi="Times New Roman"/>
          <w:sz w:val="20"/>
        </w:rPr>
        <w:t xml:space="preserve">) harmonic spectrum and individual limits of IEEE Std 519.</w:t>
      </w:r>
    </w:p>
    <w:bookmarkEnd w:id="46"/>
    <w:bookmarkStart w:id="47" w:name="case-4-grid-voltage-dip"/>
    <w:p>
      <w:pPr>
        <w:pStyle w:val="Heading2"/>
      </w:pPr>
      <w:r>
        <w:t xml:space="preserve">8.5. Case 4: Grid Voltage Dip</w:t>
      </w:r>
    </w:p>
    <w:p>
      <w:pPr>
        <w:pStyle w:val="FirstParagraph"/>
      </w:pPr>
      <w:r>
        <w:t xml:space="preserve">During the 50 % voltage dip (Figure 10b–d), the grid current doubles, from 0.77 to</w:t>
      </w:r>
      <w:r>
        <w:t xml:space="preserve"> </w:t>
      </w:r>
      <w:r>
        <w:t xml:space="preserve">1.50 kA, to keep the injected power, which remains below the current limit of the converter. The DC-link</w:t>
      </w:r>
      <w:r>
        <w:t xml:space="preserve"> </w:t>
      </w:r>
      <w:r>
        <w:t xml:space="preserve">voltage deviates by 16 V (1.3 %) at the beginning of the dip and returns within 5 V of 1200 V about</w:t>
      </w:r>
      <w:r>
        <w:t xml:space="preserve"> </w:t>
      </w:r>
      <w:r>
        <w:t xml:space="preserve">50 ms after its end. The active power is maintained, with short transients at the beginning and at the</w:t>
      </w:r>
      <w:r>
        <w:t xml:space="preserve"> </w:t>
      </w:r>
      <w:r>
        <w:t xml:space="preserve">end of the dip, and the reactive power remains below 61 kvar (Figure 11b).</w:t>
      </w:r>
    </w:p>
    <w:bookmarkEnd w:id="47"/>
    <w:bookmarkStart w:id="48" w:name="quantitative-assessment"/>
    <w:p>
      <w:pPr>
        <w:pStyle w:val="Heading2"/>
      </w:pPr>
      <w:r>
        <w:t xml:space="preserve">8.6. Quantitative Assessment</w:t>
      </w:r>
    </w:p>
    <w:p>
      <w:pPr>
        <w:pStyle w:val="FirstParagraph"/>
      </w:pPr>
      <w:r>
        <w:t xml:space="preserve">Table 4 summarizes the speed tracking. With the network, the IAE decreases by 44.8 % in</w:t>
      </w:r>
      <w:r>
        <w:t xml:space="preserve"> </w:t>
      </w:r>
      <w:r>
        <w:t xml:space="preserve">case 1, 26.5 % in case 2 and 27.9 % in case 3, and the ISE decreases by 46 to 52 %, with the same</w:t>
      </w:r>
      <w:r>
        <w:t xml:space="preserve"> </w:t>
      </w:r>
      <w:r>
        <w:t xml:space="preserve">nominal gains. Table 5 shows that the other variables are practically unchanged: the current</w:t>
      </w:r>
      <w:r>
        <w:t xml:space="preserve"> </w:t>
      </w:r>
      <w:r>
        <w:t xml:space="preserve">errors, the DC-link deviation, the torque ripple and the grid-current THD are the same, and the captured</w:t>
      </w:r>
      <w:r>
        <w:t xml:space="preserve"> </w:t>
      </w:r>
      <w:r>
        <w:t xml:space="preserve">energy and the MPPT efficiency are equal. The network therefore improves the variable that it compensates,</w:t>
      </w:r>
      <w:r>
        <w:t xml:space="preserve"> </w:t>
      </w:r>
      <w:r>
        <w:t xml:space="preserve">the rotor speed, without degrading the rest of the system. Its price is a slightly more active torque, with</w:t>
      </w:r>
      <w:r>
        <w:t xml:space="preserve"> </w:t>
      </w:r>
      <w:r>
        <w:t xml:space="preserve">a 9 to 12 % larger standard deviation of the rate of the 50-ms averaged torque. The remaining speed error</w:t>
      </w:r>
      <w:r>
        <w:t xml:space="preserve"> </w:t>
      </w:r>
      <w:r>
        <w:t xml:space="preserve">comes mainly from the anemometer delay, which no model-based compensation can remove, and from the</w:t>
      </w:r>
      <w:r>
        <w:t xml:space="preserve"> </w:t>
      </w:r>
      <w:r>
        <w:t xml:space="preserve">measurement noise.</w:t>
      </w:r>
    </w:p>
    <w:p>
      <w:pPr>
        <w:pStyle w:val="BodyText"/>
        <w:keepNext/>
        <w:spacing w:before="200" w:after="8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Table 4.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Speed tracking performance without and with the adaptive RBF compensation (best values in bold).</w:t>
      </w:r>
    </w:p>
    <w:tbl>
      <w:tblPr>
        <w:tblStyle w:val="Table"/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1772"/>
        <w:gridCol w:w="2815"/>
        <w:gridCol w:w="1459"/>
        <w:gridCol w:w="1147"/>
        <w:gridCol w:w="1876"/>
      </w:tblGrid>
      <w:tr>
        <w:trPr>
          <w:tblHeader w:val="true"/>
          <w:cantSplit/>
        </w:trPr>
        <w:tc>
          <w:tcPr>
            <w:tcW w:type="dxa" w:w="1772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Case</w:t>
            </w:r>
          </w:p>
        </w:tc>
        <w:tc>
          <w:tcPr>
            <w:tcW w:type="dxa" w:w="2815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Metric</w:t>
            </w:r>
          </w:p>
        </w:tc>
        <w:tc>
          <w:tcPr>
            <w:tcW w:type="dxa" w:w="1460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Without ANN</w:t>
            </w:r>
          </w:p>
        </w:tc>
        <w:tc>
          <w:tcPr>
            <w:tcW w:type="dxa" w:w="1147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 ANN</w:t>
            </w:r>
          </w:p>
        </w:tc>
        <w:tc>
          <w:tcPr>
            <w:tcW w:type="dxa" w:w="1877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Improvement (%)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 Step wind</w:t>
            </w: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RMSE (mrad/s)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4.99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3.67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26.5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MAE (mrad/s)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1.81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1.00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44.8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(mrad/s)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33.2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30.1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9.5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IAE (mrad)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70.6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39.0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44.8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ISE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/s)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9.71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5.24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46.0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settling to 2 mrad/s (s)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3.85–4.35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1.88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51–57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 Random wind</w:t>
            </w:r>
          </w:p>
        </w:tc>
        <w:tc>
          <w:tcPr>
            <w:tcW w:type="dxa" w:w="2815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RMSE (mrad/s)</w:t>
            </w:r>
          </w:p>
        </w:tc>
        <w:tc>
          <w:tcPr>
            <w:tcW w:type="dxa" w:w="1460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4.61</w:t>
            </w:r>
          </w:p>
        </w:tc>
        <w:tc>
          <w:tcPr>
            <w:tcW w:type="dxa" w:w="1147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3.25</w:t>
            </w:r>
          </w:p>
        </w:tc>
        <w:tc>
          <w:tcPr>
            <w:tcW w:type="dxa" w:w="1877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29.6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MAE (mrad/s)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3.63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2.66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26.5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(mrad/s)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12.7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7.42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41.4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IAE (mrad)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141.4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103.9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26.5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ISE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/s)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8.28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4.11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50.4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 Uncertainty</w:t>
            </w:r>
          </w:p>
        </w:tc>
        <w:tc>
          <w:tcPr>
            <w:tcW w:type="dxa" w:w="2815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RMSE (mrad/s)</w:t>
            </w:r>
          </w:p>
        </w:tc>
        <w:tc>
          <w:tcPr>
            <w:tcW w:type="dxa" w:w="1460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5.55</w:t>
            </w:r>
          </w:p>
        </w:tc>
        <w:tc>
          <w:tcPr>
            <w:tcW w:type="dxa" w:w="1147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3.87</w:t>
            </w:r>
          </w:p>
        </w:tc>
        <w:tc>
          <w:tcPr>
            <w:tcW w:type="dxa" w:w="1877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30.4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MAE (mrad/s)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4.47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3.22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(mrad/s)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14.2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8.93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37.0</w:t>
            </w:r>
          </w:p>
        </w:tc>
      </w:tr>
      <w:tr>
        <w:trPr>
          <w:cantSplit/>
        </w:trPr>
        <w:tc>
          <w:tcPr>
            <w:tcW w:type="dxa" w:w="1772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IAE (mrad)</w:t>
            </w:r>
          </w:p>
        </w:tc>
        <w:tc>
          <w:tcPr>
            <w:tcW w:type="dxa" w:w="1460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174.3</w:t>
            </w:r>
          </w:p>
        </w:tc>
        <w:tc>
          <w:tcPr>
            <w:tcW w:type="dxa" w:w="114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125.7</w:t>
            </w:r>
          </w:p>
        </w:tc>
        <w:tc>
          <w:tcPr>
            <w:tcW w:type="dxa" w:w="1877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</w:tr>
      <w:tr>
        <w:trPr>
          <w:cantSplit/>
        </w:trPr>
        <w:tc>
          <w:tcPr>
            <w:tcW w:type="dxa" w:w="1772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815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ISE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/s)</w:t>
            </w:r>
          </w:p>
        </w:tc>
        <w:tc>
          <w:tcPr>
            <w:tcW w:type="dxa" w:w="1460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12.0</w:t>
            </w:r>
          </w:p>
        </w:tc>
        <w:tc>
          <w:tcPr>
            <w:tcW w:type="dxa" w:w="1147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5.83</w:t>
            </w:r>
          </w:p>
        </w:tc>
        <w:tc>
          <w:tcPr>
            <w:tcW w:type="dxa" w:w="1877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51.5</w:t>
            </w:r>
          </w:p>
        </w:tc>
      </w:tr>
    </w:tbl>
    <w:p>
      <w:pPr>
        <w:pStyle w:val="BodyText"/>
        <w:keepNext/>
        <w:spacing w:before="200" w:after="8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Table 5.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Performance of the whole system without and with the adaptive RBF compensation (40 s, from</w:t>
      </w:r>
      <w:r>
        <w:rPr>
          <w:rFonts w:ascii="Times New Roman" w:hAnsi="Times New Roman"/>
          <w:sz w:val="20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0"/>
        </w:rPr>
        <w:t xml:space="preserve"> s; best values in bold, both in bold when the difference is negligible).</w:t>
      </w:r>
    </w:p>
    <w:tbl>
      <w:tblPr>
        <w:tblStyle w:val="Table"/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Row="0" w:lastRow="0" w:firstColumn="0" w:lastColumn="0" w:noHBand="0" w:noVBand="0" w:val="0000"/>
      </w:tblPr>
      <w:tblGrid>
        <w:gridCol w:w="1916"/>
        <w:gridCol w:w="958"/>
        <w:gridCol w:w="958"/>
        <w:gridCol w:w="1086"/>
        <w:gridCol w:w="1086"/>
        <w:gridCol w:w="1533"/>
        <w:gridCol w:w="1533"/>
      </w:tblGrid>
      <w:tr>
        <w:trPr>
          <w:cantSplit/>
        </w:trPr>
        <w:tc>
          <w:tcPr>
            <w:tcW w:type="dxa" w:w="1916"/>
            <w:tcBorders>
              <w:top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958"/>
            <w:gridSpan w:val="2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1. Step wind</w:t>
            </w:r>
          </w:p>
        </w:tc>
        <w:tc>
          <w:tcPr>
            <w:tcW w:type="dxa" w:w="1086"/>
            <w:gridSpan w:val="2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2. Random wind</w:t>
            </w:r>
          </w:p>
        </w:tc>
        <w:tc>
          <w:tcPr>
            <w:tcW w:type="dxa" w:w="1533"/>
            <w:gridSpan w:val="2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3–4. Uncertainty, dip</w:t>
            </w:r>
          </w:p>
        </w:tc>
      </w:tr>
      <w:tr>
        <w:trPr>
          <w:cantSplit/>
        </w:trPr>
        <w:tc>
          <w:tcPr>
            <w:tcW w:type="dxa" w:w="1916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Metric</w:t>
            </w:r>
          </w:p>
        </w:tc>
        <w:tc>
          <w:tcPr>
            <w:tcW w:type="dxa" w:w="958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Without</w:t>
            </w:r>
          </w:p>
        </w:tc>
        <w:tc>
          <w:tcPr>
            <w:tcW w:type="dxa" w:w="958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With</w:t>
            </w:r>
          </w:p>
        </w:tc>
        <w:tc>
          <w:tcPr>
            <w:tcW w:type="dxa" w:w="1086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Without</w:t>
            </w:r>
          </w:p>
        </w:tc>
        <w:tc>
          <w:tcPr>
            <w:tcW w:type="dxa" w:w="1086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With</w:t>
            </w:r>
          </w:p>
        </w:tc>
        <w:tc>
          <w:tcPr>
            <w:tcW w:type="dxa" w:w="1533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Without</w:t>
            </w:r>
          </w:p>
        </w:tc>
        <w:tc>
          <w:tcPr>
            <w:tcW w:type="dxa" w:w="1533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With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Max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  <m: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oMath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(V)</w:t>
            </w:r>
            <w:r>
              <w:rPr>
                <w:rFonts w:ascii="Times New Roman" w:hAnsi="Times New Roman"/>
                <w:sz w:val="18"/>
                <w:vertAlign w:val="superscript"/>
              </w:rPr>
              <w:t xml:space="preserve">1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6.96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6.94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7.03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6.90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9.32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9.10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Max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  <m: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oMath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in the dip (V)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–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–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–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–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16.1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15.6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RMS error of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(A)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5.83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5.80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5.85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5.81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5.81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5.79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RMS error of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g</m:t>
                  </m:r>
                  <m:r>
                    <m:t>d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(A)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41.5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41.4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42.3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42.3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35.1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35.0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Torque ripple (% of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)</w:t>
            </w:r>
            <w:r>
              <w:rPr>
                <w:rFonts w:ascii="Times New Roman" w:hAnsi="Times New Roman"/>
                <w:sz w:val="18"/>
                <w:vertAlign w:val="superscript"/>
              </w:rPr>
              <w:t xml:space="preserve">2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0.55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0.54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0.60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0.60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0.61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0.60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Grid-current THD (%)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1.45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1.45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3.86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3.92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2.55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2.58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Energy (kWh)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13.86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13.86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10.05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10.04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10.98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10.97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MPPT efficiency (%)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98.0</w:t>
            </w:r>
          </w:p>
        </w:tc>
        <w:tc>
          <w:tcPr>
            <w:tcW w:type="dxa" w:w="958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98.0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97.7</w:t>
            </w:r>
          </w:p>
        </w:tc>
        <w:tc>
          <w:tcPr>
            <w:tcW w:type="dxa" w:w="1086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97.7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97.7</w:t>
            </w:r>
          </w:p>
        </w:tc>
        <w:tc>
          <w:tcPr>
            <w:tcW w:type="dxa" w:w="1533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97.7</w:t>
            </w:r>
          </w:p>
        </w:tc>
      </w:tr>
      <w:tr>
        <w:trPr>
          <w:cantSplit/>
        </w:trPr>
        <w:tc>
          <w:tcPr>
            <w:tcW w:type="dxa" w:w="1916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Torque rate std (MN</w:t>
            </w:r>
            <m:oMath>
              <m:r>
                <m:rPr>
                  <m:sty m:val="p"/>
                </m:rPr>
                <m:t>⋅</m:t>
              </m:r>
            </m:oMath>
            <w:r>
              <w:rPr>
                <w:rFonts w:ascii="Times New Roman" w:hAnsi="Times New Roman"/>
                <w:sz w:val="18"/>
              </w:rPr>
              <w:t xml:space="preserve">m/s)</w:t>
            </w:r>
            <w:r>
              <w:rPr>
                <w:rFonts w:ascii="Times New Roman" w:hAnsi="Times New Roman"/>
                <w:sz w:val="18"/>
                <w:vertAlign w:val="superscript"/>
              </w:rPr>
              <w:t xml:space="preserve">3</w:t>
            </w:r>
          </w:p>
        </w:tc>
        <w:tc>
          <w:tcPr>
            <w:tcW w:type="dxa" w:w="958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0.239</w:t>
            </w:r>
          </w:p>
        </w:tc>
        <w:tc>
          <w:tcPr>
            <w:tcW w:type="dxa" w:w="958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0.267</w:t>
            </w:r>
          </w:p>
        </w:tc>
        <w:tc>
          <w:tcPr>
            <w:tcW w:type="dxa" w:w="1086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0.212</w:t>
            </w:r>
          </w:p>
        </w:tc>
        <w:tc>
          <w:tcPr>
            <w:tcW w:type="dxa" w:w="1086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0.231</w:t>
            </w:r>
          </w:p>
        </w:tc>
        <w:tc>
          <w:tcPr>
            <w:tcW w:type="dxa" w:w="1533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0.210</w:t>
            </w:r>
          </w:p>
        </w:tc>
        <w:tc>
          <w:tcPr>
            <w:tcW w:type="dxa" w:w="1533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0.233</w:t>
            </w:r>
          </w:p>
        </w:tc>
      </w:tr>
    </w:tbl>
    <w:p>
      <w:pPr>
        <w:pStyle w:val="BodyText"/>
        <w:spacing w:before="40" w:after="160"/>
        <w:ind w:firstLine="0"/>
        <w:jc w:val="center"/>
      </w:pPr>
      <w:r>
        <w:rPr>
          <w:rFonts w:ascii="Times New Roman" w:hAnsi="Times New Roman"/>
          <w:sz w:val="18"/>
        </w:rPr>
        <w:t xml:space="preserve"/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  <w:vertAlign w:val="superscript"/>
        </w:rPr>
        <w:t xml:space="preserve">1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outside the voltage dip;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  <w:vertAlign w:val="superscript"/>
        </w:rPr>
        <w:t xml:space="preserve">2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standard deviation of</w:t>
      </w:r>
      <w:r>
        <w:rPr>
          <w:rFonts w:ascii="Times New Roman" w:hAnsi="Times New Roman"/>
          <w:sz w:val="18"/>
        </w:rP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</m:oMath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minus its 50-ms average;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  <w:vertAlign w:val="superscript"/>
        </w:rPr>
        <w:t xml:space="preserve">3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of the 50-ms averaged torque.</w:t>
      </w:r>
    </w:p>
    <w:bookmarkEnd w:id="48"/>
    <w:bookmarkEnd w:id="49"/>
    <w:bookmarkStart w:id="50" w:name="conclusions"/>
    <w:p>
      <w:pPr>
        <w:pStyle w:val="Heading1"/>
      </w:pPr>
      <w:r>
        <w:t xml:space="preserve">9. Conclusions</w:t>
      </w:r>
    </w:p>
    <w:p>
      <w:pPr>
        <w:pStyle w:val="FirstParagraph"/>
      </w:pPr>
      <w:r>
        <w:t xml:space="preserve">This paper proposed a hybrid control for a 2 MW direct-drive PMSG wind energy conversion system in which</w:t>
      </w:r>
      <w:r>
        <w:t xml:space="preserve"> </w:t>
      </w:r>
      <w:r>
        <w:t xml:space="preserve">flatness generates the references, passivity-based control guarantees the energy structure and the</w:t>
      </w:r>
      <w:r>
        <w:t xml:space="preserve"> </w:t>
      </w:r>
      <w:r>
        <w:t xml:space="preserve">damping of the current loops of both converters, and an adaptive RBF network compensates the</w:t>
      </w:r>
      <w:r>
        <w:t xml:space="preserve"> </w:t>
      </w:r>
      <w:r>
        <w:t xml:space="preserve">aerodynamic-torque and parameter uncertainty. The system was modeled from the wind to the grid with an</w:t>
      </w:r>
      <w:r>
        <w:t xml:space="preserve"> </w:t>
      </w:r>
      <w:r>
        <w:t xml:space="preserve">exact energy balance, and a composite Lyapunov analysis showed that all closed-loop signals remain bounded,</w:t>
      </w:r>
      <w:r>
        <w:t xml:space="preserve"> </w:t>
      </w:r>
      <w:r>
        <w:t xml:space="preserve">that the current errors converge to zero and that the speed error converges to a neighborhood of zero</w:t>
      </w:r>
      <w:r>
        <w:t xml:space="preserve"> </w:t>
      </w:r>
      <w:r>
        <w:t xml:space="preserve">that depends on the approximation error of the network. Simulations with sensor noise and grid harmonics</w:t>
      </w:r>
      <w:r>
        <w:t xml:space="preserve"> </w:t>
      </w:r>
      <w:r>
        <w:t xml:space="preserve">under step wind, random wind, parameter uncertainty and a 50 % voltage dip showed that all the controlled</w:t>
      </w:r>
      <w:r>
        <w:t xml:space="preserve"> </w:t>
      </w:r>
      <w:r>
        <w:t xml:space="preserve">variables track their references, that the DC-link voltage remains within 0.8 % of its reference outside</w:t>
      </w:r>
      <w:r>
        <w:t xml:space="preserve"> </w:t>
      </w:r>
      <w:r>
        <w:t xml:space="preserve">the dip and within 1.3 % during it, that the grid-current THD stays below 4 %, and that the network</w:t>
      </w:r>
      <w:r>
        <w:t xml:space="preserve"> </w:t>
      </w:r>
      <w:r>
        <w:t xml:space="preserve">reduces the integral absolute speed error by 26.5 to 44.8 % with the same nominal gains and the same</w:t>
      </w:r>
      <w:r>
        <w:t xml:space="preserve"> </w:t>
      </w:r>
      <w:r>
        <w:t xml:space="preserve">captured energy.</w:t>
      </w:r>
    </w:p>
    <w:p>
      <w:pPr>
        <w:pStyle w:val="BodyText"/>
      </w:pPr>
      <w:r>
        <w:t xml:space="preserve">The validation was made with the average model of the converters, so the switching ripple is not</w:t>
      </w:r>
      <w:r>
        <w:t xml:space="preserve"> </w:t>
      </w:r>
      <w:r>
        <w:t xml:space="preserve">represented, with an ideal synchronization to the grid and one realization of the random wind. No</w:t>
      </w:r>
      <w:r>
        <w:t xml:space="preserve"> </w:t>
      </w:r>
      <w:r>
        <w:t xml:space="preserve">experimental or hardware-in-the-loop (HIL) validation has yet been performed, and the stability analysis</w:t>
      </w:r>
      <w:r>
        <w:t xml:space="preserve"> </w:t>
      </w:r>
      <w:r>
        <w:t xml:space="preserve">does not include the sampling and the saturations. Future work will consider a switching model with an</w:t>
      </w:r>
      <w:r>
        <w:t xml:space="preserve"> </w:t>
      </w:r>
      <m:oMath>
        <m:r>
          <m:t>L</m:t>
        </m:r>
        <m:r>
          <m:t>C</m:t>
        </m:r>
        <m:r>
          <m:t>L</m:t>
        </m:r>
      </m:oMath>
      <w:r>
        <w:t xml:space="preserve"> </w:t>
      </w:r>
      <w:r>
        <w:t xml:space="preserve">filter, the dynamics of the phase-locked loop, HIL implementation, and comparisons with other</w:t>
      </w:r>
      <w:r>
        <w:t xml:space="preserve"> </w:t>
      </w:r>
      <w:r>
        <w:t xml:space="preserve">nonlinear controllers.</w:t>
      </w:r>
    </w:p>
    <w:p>
      <w:pPr>
        <w:pStyle w:val="BodyText"/>
        <w:spacing w:before="240" w:after="40"/>
        <w:ind w:firstLine="0"/>
        <w:jc w:val="both"/>
      </w:pPr>
      <w:r>
        <w:rPr>
          <w:rFonts w:ascii="Times New Roman" w:hAnsi="Times New Roman"/>
          <w:b/>
          <w:bCs/>
          <w:sz w:val="20"/>
        </w:rPr>
        <w:t xml:space="preserve">Author Contributions: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Conceptualization, M.M. and K.K.; Methodology, S.R.;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Validation, S.R. and K.K.; Investigation, S.R.; Writing—original draft, S.R., M.M. and K.K.;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Supervision, M.M. and K.K.; Project administration, M.M. and K.K. All authors have read and agreed to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published version of the manuscript.</w:t>
      </w:r>
    </w:p>
    <w:p>
      <w:pPr>
        <w:pStyle w:val="BodyText"/>
        <w:spacing w:before="0" w:after="40"/>
        <w:ind w:firstLine="0"/>
        <w:jc w:val="both"/>
      </w:pPr>
      <w:r>
        <w:rPr>
          <w:rFonts w:ascii="Times New Roman" w:hAnsi="Times New Roman"/>
          <w:b/>
          <w:bCs/>
          <w:sz w:val="20"/>
        </w:rPr>
        <w:t xml:space="preserve">Funding: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This research received no external funding.</w:t>
      </w:r>
    </w:p>
    <w:p>
      <w:pPr>
        <w:pStyle w:val="BodyText"/>
        <w:spacing w:before="0" w:after="40"/>
        <w:ind w:firstLine="0"/>
        <w:jc w:val="both"/>
      </w:pPr>
      <w:r>
        <w:rPr>
          <w:rFonts w:ascii="Times New Roman" w:hAnsi="Times New Roman"/>
          <w:b/>
          <w:bCs/>
          <w:sz w:val="20"/>
        </w:rPr>
        <w:t xml:space="preserve">Data Availability Statement: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original contributions presented in this study are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included in the article. Further inquiries can be directed to the corresponding author.</w:t>
      </w:r>
    </w:p>
    <w:p>
      <w:pPr>
        <w:pStyle w:val="BodyText"/>
        <w:spacing w:before="0" w:after="40"/>
        <w:ind w:firstLine="0"/>
        <w:jc w:val="both"/>
      </w:pPr>
      <w:r>
        <w:rPr>
          <w:rFonts w:ascii="Times New Roman" w:hAnsi="Times New Roman"/>
          <w:b/>
          <w:bCs/>
          <w:sz w:val="20"/>
        </w:rPr>
        <w:t xml:space="preserve">Conflicts of Interest: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authors declare no conflicts of interest.</w:t>
      </w:r>
    </w:p>
    <w:bookmarkEnd w:id="50"/>
    <w:bookmarkStart w:id="51" w:name="references"/>
    <w:p>
      <w:pPr>
        <w:pStyle w:val="Heading1"/>
      </w:pPr>
      <w:r>
        <w:t xml:space="preserve">References</w:t>
      </w:r>
    </w:p>
    <w:p>
      <w:pPr>
        <w:pStyle w:val="FirstParagraph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[1] Barthelmie, R.J.; Pryor, S.C. Climate Change Mitigation Potential of Wind Energy.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Climate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2021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9</w:t>
      </w:r>
      <w:r>
        <w:rPr>
          <w:rFonts w:ascii="Times New Roman" w:hAnsi="Times New Roman"/>
          <w:sz w:val="20"/>
        </w:rPr>
        <w:t xml:space="preserve">, 136. https://doi.org/10.3390/cli9090136.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[2] International Energy Agency (IEA).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World Energy Outlook 2024</w:t>
      </w:r>
      <w:r>
        <w:rPr>
          <w:rFonts w:ascii="Times New Roman" w:hAnsi="Times New Roman"/>
          <w:sz w:val="20"/>
        </w:rPr>
        <w:t xml:space="preserve">; IEA: Paris, France, 2024.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[3] Global Wind Energy Council (GWEC).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Global Wind Report 2024</w:t>
      </w:r>
      <w:r>
        <w:rPr>
          <w:rFonts w:ascii="Times New Roman" w:hAnsi="Times New Roman"/>
          <w:sz w:val="20"/>
        </w:rPr>
        <w:t xml:space="preserve">; GWEC: Brussels, Belgium, 2024.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[4] Polinder, H.; Ferreira, J.A.; Jensen, B.B.; Abrahamsen, A.B.; Atallah, K.; McMahon, R.A. Trends in Wind Turbine Generator Systems.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J. Emerg. Sel. Top. Power Electron.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2013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</w:t>
      </w:r>
      <w:r>
        <w:rPr>
          <w:rFonts w:ascii="Times New Roman" w:hAnsi="Times New Roman"/>
          <w:sz w:val="20"/>
        </w:rPr>
        <w:t xml:space="preserve">, 174–185.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[5] Yaramasu, V.; Wu, B.; Sen, P.C.; Kouro, S.; Narimani, M. High-Power Wind Energy Conversion Systems: State-of-the-Art and Emerging Technologies.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Proc. IEEE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103</w:t>
      </w:r>
      <w:r>
        <w:rPr>
          <w:rFonts w:ascii="Times New Roman" w:hAnsi="Times New Roman"/>
          <w:sz w:val="20"/>
        </w:rPr>
        <w:t xml:space="preserve">, 740–788.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[6] Wu, B.; Lang, Y.; Zargari, N.; Kouro, 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Power Conversion and Control of Wind Energy Systems</w:t>
      </w:r>
      <w:r>
        <w:rPr>
          <w:rFonts w:ascii="Times New Roman" w:hAnsi="Times New Roman"/>
          <w:sz w:val="20"/>
        </w:rPr>
        <w:t xml:space="preserve">; Wiley-IEEE Press: Hoboken, NJ, USA, 2011.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[7] Rolán, A.; Luna, A.; Vázquez, G.; Aguilar, D.; Azevedo, G. Modeling of a Variable Speed Wind Turbine with a Permanent Magnet Synchronous Generator. In Proceedings of the IEEE International Symposium on Industrial Electronics (ISIE), Seoul, Republic of Korea, 2009; pp. 734–739. https://doi.org/10.1109/ISIE.2009.5218120.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[8] Aimene, M.; Payman, A.; Dakyo, B. Comparative Study between Flatness-Based and Field-Oriented Control Methods of a Grid-Connected Wind Energy Conversion System.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Processes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2022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10</w:t>
      </w:r>
      <w:r>
        <w:rPr>
          <w:rFonts w:ascii="Times New Roman" w:hAnsi="Times New Roman"/>
          <w:sz w:val="20"/>
        </w:rPr>
        <w:t xml:space="preserve">, 378. https://doi.org/10.3390/pr10020378.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[9] Chinchilla, M.; Arnaltes, S.; Burgos, J.C. Control of Permanent-Magnet Generators Applied to Variable-Speed Wind-Energy Systems Connected to the Grid.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Trans. Energy Convers.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2006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21</w:t>
      </w:r>
      <w:r>
        <w:rPr>
          <w:rFonts w:ascii="Times New Roman" w:hAnsi="Times New Roman"/>
          <w:sz w:val="20"/>
        </w:rPr>
        <w:t xml:space="preserve">, 130–135.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[10] Yazdani, A.; Iravani, R.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Voltage-Sourced Converters in Power Systems: Modeling, Control, and Applications</w:t>
      </w:r>
      <w:r>
        <w:rPr>
          <w:rFonts w:ascii="Times New Roman" w:hAnsi="Times New Roman"/>
          <w:sz w:val="20"/>
        </w:rPr>
        <w:t xml:space="preserve">; Wiley-IEEE Press: Hoboken, NJ, USA, 2010.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[11] Blaabjerg, F.; Teodorescu, R.; Liserre, M.; Timbus, A.V. Overview of Control and Grid Synchronization for Distributed Power Generation Systems.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Trans. Ind. Electron.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2006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53</w:t>
      </w:r>
      <w:r>
        <w:rPr>
          <w:rFonts w:ascii="Times New Roman" w:hAnsi="Times New Roman"/>
          <w:sz w:val="20"/>
        </w:rPr>
        <w:t xml:space="preserve">, 1398–1409.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[12] Mechter, A.; Kemih, K.; Ghanes, M. Sliding Mode Control of a Wind Turbine with Exponential Reaching Law.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Acta Polytech. Hung.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12</w:t>
      </w:r>
      <w:r>
        <w:rPr>
          <w:rFonts w:ascii="Times New Roman" w:hAnsi="Times New Roman"/>
          <w:sz w:val="20"/>
        </w:rPr>
        <w:t xml:space="preserve">, 167–183.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[13] Benabdeeseelam, A.; Messadi, M.; Kemih, K.; Hamiche, H. Chattering-Free Terminal Sliding Mode Control Based on Adaptive Exponential Reaching Barrier Function for a Chaotic Permanent Magnet Synchronous Generator in Offshore Wind Turbine System.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Chin. Phys. B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34</w:t>
      </w:r>
      <w:r>
        <w:rPr>
          <w:rFonts w:ascii="Times New Roman" w:hAnsi="Times New Roman"/>
          <w:sz w:val="20"/>
        </w:rPr>
        <w:t xml:space="preserve">, 090501.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[14] Mechter, A.; Kemih, K.; Ghanes, M. Backstepping Control of a Wind Turbine for Low Wind Speeds.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Nonlinear Dyn.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2016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84</w:t>
      </w:r>
      <w:r>
        <w:rPr>
          <w:rFonts w:ascii="Times New Roman" w:hAnsi="Times New Roman"/>
          <w:sz w:val="20"/>
        </w:rPr>
        <w:t xml:space="preserve">, 2435–2445. https://doi.org/10.1007/s11071-016-2655-y.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[15] Messadi, M.; Mellit, A.; Kemih, K.; Ghanes, M. Predictive Control of a Chaotic Permanent Magnet Synchronous Generator in a Wind Turbine System.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Chin. Phys. B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24</w:t>
      </w:r>
      <w:r>
        <w:rPr>
          <w:rFonts w:ascii="Times New Roman" w:hAnsi="Times New Roman"/>
          <w:sz w:val="20"/>
        </w:rPr>
        <w:t xml:space="preserve">, 010502.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[16] Yang, L.; Yang, F.; Sheng, W.; Zhou, K.; Huang, T. Fuzzy Chaos Control of Fractional Order D-PMSG for Wind Turbine with Uncertain Parameters by State Feedback Design.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Energies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2021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14</w:t>
      </w:r>
      <w:r>
        <w:rPr>
          <w:rFonts w:ascii="Times New Roman" w:hAnsi="Times New Roman"/>
          <w:sz w:val="20"/>
        </w:rPr>
        <w:t xml:space="preserve">, 7369.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[17] Fliess, M.; Lévine, J.; Martin, P.; Rouchon, P. Flatness and Defect of Non-Linear Systems: Introductory Theory and Examples.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Int. J. Control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1995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61</w:t>
      </w:r>
      <w:r>
        <w:rPr>
          <w:rFonts w:ascii="Times New Roman" w:hAnsi="Times New Roman"/>
          <w:sz w:val="20"/>
        </w:rPr>
        <w:t xml:space="preserve">, 1327–1361.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[18] Thounthong, P.; Pierfederici, S.; Davat, B. Analysis of Differential Flatness-Based Control for a Fuel Cell Hybrid Power Source.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Trans. Energy Convers.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2010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25</w:t>
      </w:r>
      <w:r>
        <w:rPr>
          <w:rFonts w:ascii="Times New Roman" w:hAnsi="Times New Roman"/>
          <w:sz w:val="20"/>
        </w:rPr>
        <w:t xml:space="preserve">, 909–920.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[19] Ortega, R.; Loría, A.; Nicklasson, P.J.; Sira-Ramírez, H.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Passivity-Based Control of Euler-Lagrange Systems</w:t>
      </w:r>
      <w:r>
        <w:rPr>
          <w:rFonts w:ascii="Times New Roman" w:hAnsi="Times New Roman"/>
          <w:sz w:val="20"/>
        </w:rPr>
        <w:t xml:space="preserve">; Springer: London, UK, 1998.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[20] Ortega, R.; van der Schaft, A.; Maschke, B.; Escobar, G. Interconnection and Damping Assignment Passivity-Based Control of Port-Controlled Hamiltonian Systems.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Automatica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2002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38</w:t>
      </w:r>
      <w:r>
        <w:rPr>
          <w:rFonts w:ascii="Times New Roman" w:hAnsi="Times New Roman"/>
          <w:sz w:val="20"/>
        </w:rPr>
        <w:t xml:space="preserve">, 585–596.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[21] Park, J.; Sandberg, I.W. Universal Approximation Using Radial-Basis-Function Networks.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Neural Comput.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1991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3</w:t>
      </w:r>
      <w:r>
        <w:rPr>
          <w:rFonts w:ascii="Times New Roman" w:hAnsi="Times New Roman"/>
          <w:sz w:val="20"/>
        </w:rPr>
        <w:t xml:space="preserve">, 246–257.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[22] Lewis, F.L.; Jagannathan, S.; Yeşildirek, A.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Neural Network Control of Robot Manipulators and Nonlinear Systems</w:t>
      </w:r>
      <w:r>
        <w:rPr>
          <w:rFonts w:ascii="Times New Roman" w:hAnsi="Times New Roman"/>
          <w:sz w:val="20"/>
        </w:rPr>
        <w:t xml:space="preserve">; Taylor &amp; Francis: London, UK, 1999.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[23] Ioannou, P.A.; Sun, J.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Robust Adaptive Control</w:t>
      </w:r>
      <w:r>
        <w:rPr>
          <w:rFonts w:ascii="Times New Roman" w:hAnsi="Times New Roman"/>
          <w:sz w:val="20"/>
        </w:rPr>
        <w:t xml:space="preserve">; Prentice Hall: Upper Saddle River, NJ, USA, 1996.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[24] Li, Y.; Sun, W.; Yu, D. RBFNN-Based Global Fast Terminal Sliding Mode Control for Fully Controlled Doubly Fed Induction Generator.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J. Frankl. Inst.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2024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361</w:t>
      </w:r>
      <w:r>
        <w:rPr>
          <w:rFonts w:ascii="Times New Roman" w:hAnsi="Times New Roman"/>
          <w:sz w:val="20"/>
        </w:rPr>
        <w:t xml:space="preserve">, 107196. https://doi.org/10.1016/j.jfranklin.2024.107196.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[25] Bounar, N.; Boulkroune, A.; Labdai, S.; Chrifi-Alaoui, L.; Khebbache, H. Disturbance Observer-Based Finite-Time Adaptive Neural Control Scheme of DFIG-Wind Turbine.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Wind Eng.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49</w:t>
      </w:r>
      <w:r>
        <w:rPr>
          <w:rFonts w:ascii="Times New Roman" w:hAnsi="Times New Roman"/>
          <w:sz w:val="20"/>
        </w:rPr>
        <w:t xml:space="preserve">, 271–289. https://doi.org/10.1177/0309524X241263517.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[26] Dardabi, C.; Djebli, A.; Chojaa, H. Enhancing the Control of Doubly Fed Induction Generators Using Artificial Neural Networks in the Presence of Real Wind Profiles.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PLoS ONE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2024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19</w:t>
      </w:r>
      <w:r>
        <w:rPr>
          <w:rFonts w:ascii="Times New Roman" w:hAnsi="Times New Roman"/>
          <w:sz w:val="20"/>
        </w:rPr>
        <w:t xml:space="preserve">, e0300527. https://doi.org/10.1371/journal.pone.0300527.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[27] Regani, S.; Messadi, M.; Kemih, K. A Novel Chaos Control Approach with Adaptive ANN Compensation for a DFIG-Based Wind Turbine.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Mathematics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2026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14</w:t>
      </w:r>
      <w:r>
        <w:rPr>
          <w:rFonts w:ascii="Times New Roman" w:hAnsi="Times New Roman"/>
          <w:sz w:val="20"/>
        </w:rPr>
        <w:t xml:space="preserve">, 3739. https://doi.org/10.3390/math14203739.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[28] Hasan, S.M.M.; Shatil, A.H.M. Design and Comparison of Grid Connected Permanent Magnet Synchronous Generator Non-Salient Pole and Salient Pole Rotor Wind Turbine.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AIUB J. Sci. Eng.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2021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20</w:t>
      </w:r>
      <w:r>
        <w:rPr>
          <w:rFonts w:ascii="Times New Roman" w:hAnsi="Times New Roman"/>
          <w:sz w:val="20"/>
        </w:rPr>
        <w:t xml:space="preserve">, 40–46.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[29] Heier, 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Grid Integration of Wind Energy: Onshore and Offshore Conversion Systems</w:t>
      </w:r>
      <w:r>
        <w:rPr>
          <w:rFonts w:ascii="Times New Roman" w:hAnsi="Times New Roman"/>
          <w:sz w:val="20"/>
        </w:rPr>
        <w:t xml:space="preserve">, 3rd ed.; Wiley: Chichester, UK, 2014.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[30] Khalil, H.K.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Nonlinear Systems</w:t>
      </w:r>
      <w:r>
        <w:rPr>
          <w:rFonts w:ascii="Times New Roman" w:hAnsi="Times New Roman"/>
          <w:sz w:val="20"/>
        </w:rPr>
        <w:t xml:space="preserve">, 3rd ed.; Prentice Hall: Upper Saddle River, NJ, USA, 2002.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[31]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Std 519-2014</w:t>
      </w:r>
      <w:r>
        <w:rPr>
          <w:rFonts w:ascii="Times New Roman" w:hAnsi="Times New Roman"/>
          <w:sz w:val="20"/>
        </w:rPr>
        <w:t xml:space="preserve">; IEEE Recommended Practice and Requirements for Harmonic Control in Electric Power Systems. IEEE: New York, NY, USA, 2014.</w:t>
      </w:r>
    </w:p>
    <w:bookmarkEnd w:id="51"/>
    <w:sectPr>
      <w:footerReference w:type="default" r:id="rId9"/>
      <w:pgSz w:w="11906" w:h="16838"/>
      <w:pgMar w:left="1417" w:right="1417" w:top="1417" w:bottom="1417" w:footer="737" w:head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before="0" w:after="60"/>
      <w:jc w:val="both"/>
    </w:pPr>
    <w:rPr>
      <w:rFonts w:ascii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60" w:before="0" w:line="240" w:lineRule="auto"/>
      <w:ind w:firstLine="283"/>
      <w:jc w:val="both"/>
    </w:pPr>
    <w:rPr>
      <w:rFonts w:ascii="Times New Roman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before="0" w:after="60"/>
      <w:ind w:firstLine="0"/>
      <w:jc w:val="both"/>
    </w:pPr>
    <w:rPr>
      <w:rFonts w:ascii="Times New Roman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40" w:before="0" w:line="240" w:lineRule="auto"/>
      <w:jc w:val="both"/>
    </w:pPr>
    <w:rPr>
      <w:rFonts w:ascii="Times New Roman" w:hAnsi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40" w:lineRule="auto"/>
      <w:jc w:val="center"/>
    </w:pPr>
    <w:rPr>
      <w:rFonts w:ascii="Times New Roman" w:hAnsi="Times New Roman" w:cs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40" w:lineRule="auto"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40" w:lineRule="auto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jc w:val="left"/>
      <w:outlineLvl w:val="0"/>
    </w:pPr>
    <w:rPr>
      <w:rFonts w:ascii="Times New Roman" w:hAnsi="Times New Roman" w:cs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 w:line="240" w:lineRule="auto"/>
      <w:jc w:val="left"/>
      <w:outlineLvl w:val="1"/>
    </w:pPr>
    <w:rPr>
      <w:rFonts w:ascii="Times New Roman" w:hAnsi="Times New Roman" w:cs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2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40" w:lineRule="auto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  <w:spacing w:line="240" w:lineRule="auto"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pPr>
      <w:spacing w:line="240" w:lineRule="auto"/>
    </w:pPr>
    <w:rPr>
      <w:rFonts w:ascii="Times New Roman" w:hAnsi="Times New Roman"/>
      <w:color w:val="00000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2026-10-19T08:14:59Z</dcterms:created>
  <dcterms:modified xsi:type="dcterms:W3CDTF">2026-10-19T08:14:59Z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