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280"/>
        <w:ind w:firstLine="0"/>
        <w:jc w:val="center"/>
      </w:pPr>
      <w:r>
        <w:rPr>
          <w:rFonts w:ascii="Times New Roman" w:hAnsi="Times New Roman"/>
          <w:b/>
          <w:sz w:val="34"/>
        </w:rPr>
        <w:t xml:space="preserve">Flatness-Based and Passivity-Based Control with Adaptive RBF Neural Compensation of a 2 MW Direct-Drive PMSG Wind Energy Conversion System</w:t>
      </w:r>
    </w:p>
    <w:p>
      <w:pPr>
        <w:pStyle w:val="BodyText"/>
        <w:spacing w:before="0" w:after="160"/>
        <w:ind w:firstLine="0"/>
        <w:jc w:val="center"/>
      </w:pPr>
      <w:r>
        <w:rPr>
          <w:rFonts w:ascii="Times New Roman" w:hAnsi="Times New Roman"/>
          <w:sz w:val="25"/>
        </w:rPr>
        <w:t xml:space="preserve">Said Regani, Manal Messadi and Karim Kemih*</w:t>
      </w:r>
    </w:p>
    <w:p>
      <w:pPr>
        <w:pStyle w:val="BodyText"/>
        <w:spacing w:before="0" w:after="0"/>
        <w:ind w:firstLine="0"/>
        <w:jc w:val="center"/>
      </w:pPr>
      <w:r>
        <w:rPr>
          <w:rFonts w:ascii="Times New Roman" w:hAnsi="Times New Roman"/>
          <w:sz w:val="19"/>
        </w:rPr>
        <w:t xml:space="preserve">L2EI Laboratory, Jijel University, BP 98, Ouled Aissa, Jijel 18000, Algeria;</w:t>
      </w:r>
    </w:p>
    <w:p>
      <w:pPr>
        <w:pStyle w:val="BodyText"/>
        <w:spacing w:before="0" w:after="0"/>
        <w:ind w:firstLine="0"/>
        <w:jc w:val="center"/>
      </w:pPr>
      <w:r>
        <w:rPr>
          <w:rFonts w:ascii="Times New Roman" w:hAnsi="Times New Roman"/>
          <w:sz w:val="19"/>
        </w:rPr>
        <w:t xml:space="preserve">said.regani@univ-jijel.dz (S.R.); manal.messadi@univ-jijel.dz (M.M.)</w:t>
      </w:r>
    </w:p>
    <w:p>
      <w:pPr>
        <w:pStyle w:val="BodyText"/>
        <w:spacing w:before="0" w:after="0"/>
        <w:ind w:firstLine="0"/>
        <w:jc w:val="center"/>
      </w:pPr>
      <w:r>
        <w:rPr>
          <w:rFonts w:ascii="Times New Roman" w:hAnsi="Times New Roman"/>
          <w:sz w:val="19"/>
        </w:rPr>
        <w:t xml:space="preserve">* Correspondence: karim_kemih@univ-jijel.dz</w:t>
      </w:r>
    </w:p>
    <w:p>
      <w:pPr>
        <w:pStyle w:val="BodyText"/>
        <w:spacing w:before="80" w:after="80"/>
        <w:ind w:firstLine="0"/>
        <w:jc w:val="both"/>
      </w:pPr>
      <w:r>
        <w:rPr>
          <w:b/>
          <w:bCs/>
        </w:rPr>
        <w:t xml:space="preserve">Abstract:</w:t>
      </w:r>
      <w:r>
        <w:t xml:space="preserve"> </w:t>
      </w:r>
      <w:r>
        <w:t xml:space="preserve">This paper proposes a nonlinear control scheme with adaptive radial basis function (RBF)</w:t>
      </w:r>
      <w:r>
        <w:t xml:space="preserve"> </w:t>
      </w:r>
      <w:r>
        <w:t xml:space="preserve">neural compensation for a 2 MW direct-drive wind energy conversion system based on a permanent magnet</w:t>
      </w:r>
      <w:r>
        <w:t xml:space="preserve"> </w:t>
      </w:r>
      <w:r>
        <w:t xml:space="preserve">synchronous generator (PMSG) connected to the grid through a back-to-back converter and 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filter.</w:t>
      </w:r>
      <w:r>
        <w:t xml:space="preserve"> </w:t>
      </w:r>
      <w:r>
        <w:t xml:space="preserve">First, a complete model of the system, from the wind to the grid, is established in the receptor</w:t>
      </w:r>
      <w:r>
        <w:t xml:space="preserve"> </w:t>
      </w:r>
      <w:r>
        <w:t xml:space="preserve">convention, and its signs are verified by an exact power balance. Subsequently, the rotor speed and the</w:t>
      </w:r>
      <w:r>
        <w:t xml:space="preserve"> </w:t>
      </w:r>
      <w:r>
        <w:t xml:space="preserve">energy stored in the DC link and in the filter are used as flat outputs of the two outer loops, and the</w:t>
      </w:r>
      <w:r>
        <w:t xml:space="preserve"> </w:t>
      </w:r>
      <w:r>
        <w:t xml:space="preserve">currents of both converters are controlled by passivity-based control (PBC), whose convergence is proved</w:t>
      </w:r>
      <w:r>
        <w:t xml:space="preserve"> </w:t>
      </w:r>
      <w:r>
        <w:t xml:space="preserve">with a storage function. To further enhance the speed tracking, an RBF network is introduced as a</w:t>
      </w:r>
      <w:r>
        <w:t xml:space="preserve"> </w:t>
      </w:r>
      <w:r>
        <w:t xml:space="preserve">complementary compensation of the aerodynamic-torque and parameter uncertainty, without retuning the</w:t>
      </w:r>
      <w:r>
        <w:t xml:space="preserve"> </w:t>
      </w:r>
      <w:r>
        <w:t xml:space="preserve">nominal gains. A Lyapunov-based adaptation law with</w:t>
      </w:r>
      <w:r>
        <w:t xml:space="preserve"> </w:t>
      </w:r>
      <m:oMath>
        <m:r>
          <m:t>σ</m:t>
        </m:r>
      </m:oMath>
      <w:r>
        <w:t xml:space="preserve">-modification guarantees the uniform</w:t>
      </w:r>
      <w:r>
        <w:t xml:space="preserve"> </w:t>
      </w:r>
      <w:r>
        <w:t xml:space="preserve">ultimate boundedness of the speed error and of the network weights. The scheme is evaluated with step</w:t>
      </w:r>
      <w:r>
        <w:t xml:space="preserve"> </w:t>
      </w:r>
      <w:r>
        <w:t xml:space="preserve">and turbulent wind, parameter mismatch, a 50 % grid voltage dip, sensor noise and grid voltage</w:t>
      </w:r>
      <w:r>
        <w:t xml:space="preserve"> </w:t>
      </w:r>
      <w:r>
        <w:t xml:space="preserve">harmonics. Simulation results show that all the controlled variables track their references, that the</w:t>
      </w:r>
      <w:r>
        <w:t xml:space="preserve"> </w:t>
      </w:r>
      <w:r>
        <w:t xml:space="preserve">DC-link voltage remains within 0.8 % of its reference outside the dip, that the grid-current</w:t>
      </w:r>
      <w:r>
        <w:t xml:space="preserve"> </w:t>
      </w:r>
      <w:r>
        <w:t xml:space="preserve">distortion stays below 4 %, and that the neural compensation reduces the integral absolute speed error</w:t>
      </w:r>
      <w:r>
        <w:t xml:space="preserve"> </w:t>
      </w:r>
      <w:r>
        <w:t xml:space="preserve">by 26.5 to 44.8 % with the same captured energy.</w:t>
      </w:r>
    </w:p>
    <w:p>
      <w:pPr>
        <w:pStyle w:val="BodyText"/>
        <w:spacing w:before="80" w:after="80"/>
        <w:ind w:firstLine="0"/>
        <w:jc w:val="both"/>
      </w:pPr>
      <w:r>
        <w:rPr>
          <w:b/>
          <w:bCs/>
        </w:rPr>
        <w:t xml:space="preserve">Keywords:</w:t>
      </w:r>
      <w:r>
        <w:t xml:space="preserve"> </w:t>
      </w:r>
      <w:r>
        <w:t xml:space="preserve">wind energy conversion systems; direct-drive PMSG; differential flatness;</w:t>
      </w:r>
      <w:r>
        <w:t xml:space="preserve"> </w:t>
      </w:r>
      <w:r>
        <w:t xml:space="preserve">passivity-based control; adaptive RBF neural network; back-to-back converter</w:t>
      </w:r>
    </w:p>
    <w:bookmarkStart w:id="20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The increasing demand for clean energy and the need to reduce greenhouse gas emissions have made wind</w:t>
      </w:r>
      <w:r>
        <w:t xml:space="preserve"> </w:t>
      </w:r>
      <w:r>
        <w:t xml:space="preserve">energy one of the main sources of the transition towards low-carbon electricity generation.</w:t>
      </w:r>
      <w:r>
        <w:t xml:space="preserve"> </w:t>
      </w:r>
      <w:r>
        <w:t xml:space="preserve">Barthelmie and Pryor [1] discussed the contribution of wind energy to climate-change</w:t>
      </w:r>
      <w:r>
        <w:t xml:space="preserve"> </w:t>
      </w:r>
      <w:r>
        <w:t xml:space="preserve">mitigation, and the reports of the International Energy Agency [2] and of the Global Wind</w:t>
      </w:r>
      <w:r>
        <w:t xml:space="preserve"> </w:t>
      </w:r>
      <w:r>
        <w:t xml:space="preserve">Energy Council [3] show the continuous growth of the installed capacity. This growth is</w:t>
      </w:r>
      <w:r>
        <w:t xml:space="preserve"> </w:t>
      </w:r>
      <w:r>
        <w:t xml:space="preserve">accompanied by larger turbines and by stricter requirements on the quality of the injected power.</w:t>
      </w:r>
    </w:p>
    <w:p>
      <w:pPr>
        <w:pStyle w:val="BodyText"/>
      </w:pPr>
      <w:r>
        <w:t xml:space="preserve">Among the generator technologies used in variable-speed wind turbines, the direct-drive permanent</w:t>
      </w:r>
      <w:r>
        <w:t xml:space="preserve"> </w:t>
      </w:r>
      <w:r>
        <w:t xml:space="preserve">magnet synchronous generator (PMSG) has become an important solution. Polinder et al. [4]</w:t>
      </w:r>
      <w:r>
        <w:t xml:space="preserve"> </w:t>
      </w:r>
      <w:r>
        <w:t xml:space="preserve">reviewed the trends in wind turbine generator systems and showed that removing the gearbox reduces</w:t>
      </w:r>
      <w:r>
        <w:t xml:space="preserve"> </w:t>
      </w:r>
      <w:r>
        <w:t xml:space="preserve">maintenance and mechanical losses. Yaramasu et al. [5] and Wu et al. [6]</w:t>
      </w:r>
      <w:r>
        <w:t xml:space="preserve"> </w:t>
      </w:r>
      <w:r>
        <w:t xml:space="preserve">described the full-scale back-to-back converter of these turbines: the machine-side converter (MSC)</w:t>
      </w:r>
      <w:r>
        <w:t xml:space="preserve"> </w:t>
      </w:r>
      <w:r>
        <w:t xml:space="preserve">controls the generator torque to track the maximum power point, and the grid-side converter (GSC)</w:t>
      </w:r>
      <w:r>
        <w:t xml:space="preserve"> </w:t>
      </w:r>
      <w:r>
        <w:t xml:space="preserve">regulates the DC-link voltage and injects the power into the grid. Since the whole power flows through</w:t>
      </w:r>
      <w:r>
        <w:t xml:space="preserve"> </w:t>
      </w:r>
      <w:r>
        <w:t xml:space="preserve">the converter, the generator is fully decoupled from the grid. Rolán et al. [7] and</w:t>
      </w:r>
      <w:r>
        <w:t xml:space="preserve"> </w:t>
      </w:r>
      <w:r>
        <w:t xml:space="preserve">Hasan and Shatil [8] presented the modeling and the design of grid-connected PMSG wind</w:t>
      </w:r>
      <w:r>
        <w:t xml:space="preserve"> </w:t>
      </w:r>
      <w:r>
        <w:t xml:space="preserve">turbines, which provide the data used in the present study.</w:t>
      </w:r>
    </w:p>
    <w:p>
      <w:pPr>
        <w:pStyle w:val="BodyText"/>
      </w:pPr>
      <w:r>
        <w:t xml:space="preserve">These control tasks are usually performed by cascaded proportional-integral (PI) loops in rotating</w:t>
      </w:r>
      <w:r>
        <w:t xml:space="preserve"> </w:t>
      </w:r>
      <w:r>
        <w:t xml:space="preserve">reference frames. Chinchilla et al. [9] applied this vector control to permanent-magnet</w:t>
      </w:r>
      <w:r>
        <w:t xml:space="preserve"> </w:t>
      </w:r>
      <w:r>
        <w:t xml:space="preserve">generators connected to the grid, and Yazdani and Iravani [10] and Blaabjerg et</w:t>
      </w:r>
      <w:r>
        <w:t xml:space="preserve"> </w:t>
      </w:r>
      <w:r>
        <w:t xml:space="preserve">al. [11] detailed the modeling, the current control and the grid synchronization of</w:t>
      </w:r>
      <w:r>
        <w:t xml:space="preserve"> </w:t>
      </w:r>
      <w:r>
        <w:t xml:space="preserve">voltage-sourced converters. The PI loops are simple and robust, but they are tuned on a linearized model</w:t>
      </w:r>
      <w:r>
        <w:t xml:space="preserve"> </w:t>
      </w:r>
      <w:r>
        <w:t xml:space="preserve">and do not use the nonlinear structure of the system.</w:t>
      </w:r>
    </w:p>
    <w:p>
      <w:pPr>
        <w:pStyle w:val="BodyText"/>
      </w:pPr>
      <w:r>
        <w:t xml:space="preserve">Considerable research has therefore been devoted to nonlinear control of wind energy conversion systems.</w:t>
      </w:r>
      <w:r>
        <w:t xml:space="preserve"> </w:t>
      </w:r>
      <w:r>
        <w:t xml:space="preserve">Mechter et al. proposed a sliding mode control with an exponential reaching law [12] and a</w:t>
      </w:r>
      <w:r>
        <w:t xml:space="preserve"> </w:t>
      </w:r>
      <w:r>
        <w:t xml:space="preserve">backstepping control for low wind speeds [13]. For the PMSG, Messadi et al. [14]</w:t>
      </w:r>
      <w:r>
        <w:t xml:space="preserve"> </w:t>
      </w:r>
      <w:r>
        <w:t xml:space="preserve">developed a predictive control of a chaotic PMSG in a wind turbine, Yang et al. [15] designed a</w:t>
      </w:r>
      <w:r>
        <w:t xml:space="preserve"> </w:t>
      </w:r>
      <w:r>
        <w:t xml:space="preserve">fuzzy state-feedback control of a fractional-order direct-drive PMSG with uncertain parameters, and</w:t>
      </w:r>
      <w:r>
        <w:t xml:space="preserve"> </w:t>
      </w:r>
      <w:r>
        <w:t xml:space="preserve">Benabdeeseelam et al. [16] proposed a chattering-free terminal sliding mode control</w:t>
      </w:r>
      <w:r>
        <w:t xml:space="preserve"> </w:t>
      </w:r>
      <w:r>
        <w:t xml:space="preserve">for a chaotic PMSG in an offshore wind turbine. Among the model-based methods, differential</w:t>
      </w:r>
      <w:r>
        <w:t xml:space="preserve"> </w:t>
      </w:r>
      <w:r>
        <w:t xml:space="preserve">flatness [17] computes the control directly from the desired trajectory of a flat output.</w:t>
      </w:r>
      <w:r>
        <w:t xml:space="preserve"> </w:t>
      </w:r>
      <w:r>
        <w:t xml:space="preserve">Aimene et al. [18] compared flatness-based and field-oriented control of a grid-connected</w:t>
      </w:r>
      <w:r>
        <w:t xml:space="preserve"> </w:t>
      </w:r>
      <w:r>
        <w:t xml:space="preserve">PMSG wind energy conversion system, and Thounthong et al. [19] showed that, with the</w:t>
      </w:r>
      <w:r>
        <w:t xml:space="preserve"> </w:t>
      </w:r>
      <w:r>
        <w:t xml:space="preserve">stored energy as flat output, the DC-bus dynamics become a linear power balance. Passivity-based control</w:t>
      </w:r>
      <w:r>
        <w:t xml:space="preserve"> </w:t>
      </w:r>
      <w:r>
        <w:t xml:space="preserve">(PBC) [20, 21] shapes the energy of the closed loop and keeps the workless coupling</w:t>
      </w:r>
      <w:r>
        <w:t xml:space="preserve"> </w:t>
      </w:r>
      <w:r>
        <w:t xml:space="preserve">terms of electrical machines, which makes it well suited to the current loops of the converters.</w:t>
      </w:r>
    </w:p>
    <w:p>
      <w:pPr>
        <w:pStyle w:val="BodyText"/>
      </w:pPr>
      <w:r>
        <w:t xml:space="preserve">Learning-based approximators have also been exploited to handle the uncertainty of wind turbine models.</w:t>
      </w:r>
      <w:r>
        <w:t xml:space="preserve"> </w:t>
      </w:r>
      <w:r>
        <w:t xml:space="preserve">RBF networks are universal approximators [22], and their weights can be adapted online with a</w:t>
      </w:r>
      <w:r>
        <w:t xml:space="preserve"> </w:t>
      </w:r>
      <w:r>
        <w:t xml:space="preserve">Lyapunov-based law [23]. Li et al. [24] introduced an RBF neural network-based global</w:t>
      </w:r>
      <w:r>
        <w:t xml:space="preserve"> </w:t>
      </w:r>
      <w:r>
        <w:t xml:space="preserve">fast terminal sliding mode control for a fully controlled doubly-fed induction generator, Dardabi et al. [25]</w:t>
      </w:r>
      <w:r>
        <w:t xml:space="preserve"> </w:t>
      </w:r>
      <w:r>
        <w:t xml:space="preserve">used artificial neural networks to enhance the control of doubly-fed induction generators in the presence</w:t>
      </w:r>
      <w:r>
        <w:t xml:space="preserve"> </w:t>
      </w:r>
      <w:r>
        <w:t xml:space="preserve">of real wind profiles, and</w:t>
      </w:r>
      <w:r>
        <w:t xml:space="preserve"> </w:t>
      </w:r>
      <w:r>
        <w:t xml:space="preserve">Bounar et al. [26] proposed a disturbance-observer-based finite-time adaptive neural control</w:t>
      </w:r>
      <w:r>
        <w:t xml:space="preserve"> </w:t>
      </w:r>
      <w:r>
        <w:t xml:space="preserve">of a doubly-fed induction generator wind turbine. In our previous work [27], a nonlinear state-feedback controller was</w:t>
      </w:r>
      <w:r>
        <w:t xml:space="preserve"> </w:t>
      </w:r>
      <w:r>
        <w:t xml:space="preserve">combined with an adaptive artificial neural network that compensates the residual tracking error of a</w:t>
      </w:r>
      <w:r>
        <w:t xml:space="preserve"> </w:t>
      </w:r>
      <w:r>
        <w:t xml:space="preserve">doubly-fed induction generator; that study did not consider measurement noise or grid disturbances.</w:t>
      </w:r>
    </w:p>
    <w:p>
      <w:pPr>
        <w:pStyle w:val="BodyText"/>
      </w:pPr>
      <w:r>
        <w:t xml:space="preserve">These studies show that nonlinear, adaptive and neural methods can improve the performance of wind</w:t>
      </w:r>
      <w:r>
        <w:t xml:space="preserve"> </w:t>
      </w:r>
      <w:r>
        <w:t xml:space="preserve">energy conversion systems. However, the existing works generally address one converter or one loop, and</w:t>
      </w:r>
      <w:r>
        <w:t xml:space="preserve"> </w:t>
      </w:r>
      <w:r>
        <w:t xml:space="preserve">the flatness-based and passivity-based methods use a model whose weak point is the aerodynamic torque,</w:t>
      </w:r>
      <w:r>
        <w:t xml:space="preserve"> </w:t>
      </w:r>
      <w:r>
        <w:t xml:space="preserve">which is not measured, and the generator parameters, which change with temperature and saturation. In</w:t>
      </w:r>
      <w:r>
        <w:t xml:space="preserve"> </w:t>
      </w:r>
      <w:r>
        <w:t xml:space="preserve">particular, increasing the gains of the speed loop is not an appropriate way to reduce the effect of</w:t>
      </w:r>
      <w:r>
        <w:t xml:space="preserve"> </w:t>
      </w:r>
      <w:r>
        <w:t xml:space="preserve">this uncertainty, because the speed loop multiplies the measurement noise by the large inertia of the</w:t>
      </w:r>
      <w:r>
        <w:t xml:space="preserve"> </w:t>
      </w:r>
      <w:r>
        <w:t xml:space="preserve">turbine. A control framework that combines flatness for the outer loops, PBC for the current loops of</w:t>
      </w:r>
      <w:r>
        <w:t xml:space="preserve"> </w:t>
      </w:r>
      <w:r>
        <w:t xml:space="preserve">both converters and an adaptive neural compensation of the aerodynamic uncertainty, and that is</w:t>
      </w:r>
      <w:r>
        <w:t xml:space="preserve"> </w:t>
      </w:r>
      <w:r>
        <w:t xml:space="preserve">evaluated under realistic measurements and grid disturbances, remains less explored.</w:t>
      </w:r>
    </w:p>
    <w:p>
      <w:pPr>
        <w:pStyle w:val="BodyText"/>
      </w:pPr>
      <w:r>
        <w:t xml:space="preserve">Motivated by this gap, the present study proposes a flatness-based and passivity-based control with</w:t>
      </w:r>
      <w:r>
        <w:t xml:space="preserve"> </w:t>
      </w:r>
      <w:r>
        <w:t xml:space="preserve">adaptive RBF neural compensation for a 2 MW direct-drive PMSG wind energy conversion system. The neural</w:t>
      </w:r>
      <w:r>
        <w:t xml:space="preserve"> </w:t>
      </w:r>
      <w:r>
        <w:t xml:space="preserve">network does not replace the nominal controller; it adds a compensation term to the flat speed law, and</w:t>
      </w:r>
      <w:r>
        <w:t xml:space="preserve"> </w:t>
      </w:r>
      <w:r>
        <w:t xml:space="preserve">the nominal gains are kept unchanged. The main contributions of this work are summarized as follows: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Complete and verified model:</w:t>
      </w:r>
      <w:r>
        <w:t xml:space="preserve"> </w:t>
      </w:r>
      <w:r>
        <w:t xml:space="preserve">the system is modeled from the wind to the grid in the</w:t>
      </w:r>
      <w:r>
        <w:t xml:space="preserve"> </w:t>
      </w:r>
      <w:r>
        <w:t xml:space="preserve">receptor convention, and an exact power balance verifies the sign of every term of the model.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Flatness-based outer loops:</w:t>
      </w:r>
      <w:r>
        <w:t xml:space="preserve"> </w:t>
      </w:r>
      <w:r>
        <w:t xml:space="preserve">the rotor speed and the energy stored in the DC link and in the</w:t>
      </w:r>
      <w:r>
        <w:t xml:space="preserve"> </w:t>
      </w:r>
      <w:r>
        <w:t xml:space="preserve">filter are used as flat outputs, so that the DC-link dynamics become a linear power balance.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Passivity-based current loops:</w:t>
      </w:r>
      <w:r>
        <w:t xml:space="preserve"> </w:t>
      </w:r>
      <w:r>
        <w:t xml:space="preserve">the currents of both converters are controlled by PBC, and</w:t>
      </w:r>
      <w:r>
        <w:t xml:space="preserve"> </w:t>
      </w:r>
      <w:r>
        <w:t xml:space="preserve">their convergence is proved with a storage function and Barbalat’s lemma.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Adaptive RBF compensation:</w:t>
      </w:r>
      <w:r>
        <w:t xml:space="preserve"> </w:t>
      </w:r>
      <w:r>
        <w:t xml:space="preserve">an RBF network learns online the aerodynamic-torque and parameter</w:t>
      </w:r>
      <w:r>
        <w:t xml:space="preserve"> </w:t>
      </w:r>
      <w:r>
        <w:t xml:space="preserve">uncertainty with a Lyapunov-based law with</w:t>
      </w:r>
      <w:r>
        <w:t xml:space="preserve"> </w:t>
      </w:r>
      <m:oMath>
        <m:r>
          <m:t>σ</m:t>
        </m:r>
      </m:oMath>
      <w:r>
        <w:t xml:space="preserve">-modification, and the uniform ultimate boundedness of</w:t>
      </w:r>
      <w:r>
        <w:t xml:space="preserve"> </w:t>
      </w:r>
      <w:r>
        <w:t xml:space="preserve">the speed error and of the weights is established.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Realistic numerical validation:</w:t>
      </w:r>
      <w:r>
        <w:t xml:space="preserve"> </w:t>
      </w:r>
      <w:r>
        <w:t xml:space="preserve">the control is evaluated with the same nominal gains without</w:t>
      </w:r>
      <w:r>
        <w:t xml:space="preserve"> </w:t>
      </w:r>
      <w:r>
        <w:t xml:space="preserve">and with the network, under step and turbulent wind, parameter mismatch, sensor noise, grid voltage</w:t>
      </w:r>
      <w:r>
        <w:t xml:space="preserve"> </w:t>
      </w:r>
      <w:r>
        <w:t xml:space="preserve">harmonics and a 50 % voltage dip.</w:t>
      </w:r>
    </w:p>
    <w:p>
      <w:pPr>
        <w:pStyle w:val="FirstParagraph"/>
      </w:pPr>
      <w:r>
        <w:t xml:space="preserve">The remainder of this paper is organized as follows. Section 2 presents the mathematical modeling of the</w:t>
      </w:r>
      <w:r>
        <w:t xml:space="preserve"> </w:t>
      </w:r>
      <w:r>
        <w:t xml:space="preserve">PMSG wind energy conversion system. Section 3 describes the proposed flatness-based and passivity-based</w:t>
      </w:r>
      <w:r>
        <w:t xml:space="preserve"> </w:t>
      </w:r>
      <w:r>
        <w:t xml:space="preserve">control and its stability analysis. Section 4 presents the adaptive RBF compensation and the</w:t>
      </w:r>
      <w:r>
        <w:t xml:space="preserve"> </w:t>
      </w:r>
      <w:r>
        <w:t xml:space="preserve">corresponding uniform-ultimate-boundedness analysis. Section 5 presents the numerical simulations and</w:t>
      </w:r>
      <w:r>
        <w:t xml:space="preserve"> </w:t>
      </w:r>
      <w:r>
        <w:t xml:space="preserve">discusses the results. Finally, Section 6 concludes the paper and outlines directions for future work.</w:t>
      </w:r>
    </w:p>
    <w:bookmarkEnd w:id="20"/>
    <w:bookmarkStart w:id="27" w:name="X820b14675c22ab492204431b0fad209d0980545"/>
    <w:p>
      <w:pPr>
        <w:pStyle w:val="Heading1"/>
      </w:pPr>
      <w:r>
        <w:t xml:space="preserve">2. Mathematical Modeling of the PMSG Wind Energy Conversion System</w:t>
      </w:r>
    </w:p>
    <w:p>
      <w:pPr>
        <w:pStyle w:val="FirstParagraph"/>
      </w:pPr>
      <w:r>
        <w:t xml:space="preserve">The studied system is shown in Figure 1. The turbine drives the PMSG directly; the MSC</w:t>
      </w:r>
      <w:r>
        <w:t xml:space="preserve"> </w:t>
      </w:r>
      <w:r>
        <w:t xml:space="preserve">rectifies the generator voltages, the DC link decouples the two converters, and the GSC injects the</w:t>
      </w:r>
      <w:r>
        <w:t xml:space="preserve"> </w:t>
      </w:r>
      <w:r>
        <w:t xml:space="preserve">power into the 690 V, 50 Hz grid through 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filter. The parameters of the system are given in</w:t>
      </w:r>
      <w:r>
        <w:t xml:space="preserve"> </w:t>
      </w:r>
      <w:r>
        <w:t xml:space="preserve">Table 1.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4320000" cy="1565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6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center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1.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Direct-drive PMSG wind energy conversion system with a back-to-back converter.</w:t>
      </w:r>
    </w:p>
    <w:bookmarkStart w:id="21" w:name="wind-turbine-aerodynamic-modeling"/>
    <w:p>
      <w:pPr>
        <w:pStyle w:val="Heading2"/>
      </w:pPr>
      <w:r>
        <w:t xml:space="preserve">2.1. Wind Turbine Aerodynamic Modeling</w:t>
      </w:r>
    </w:p>
    <w:p>
      <w:pPr>
        <w:pStyle w:val="FirstParagraph"/>
      </w:pPr>
      <w:r>
        <w:t xml:space="preserve">The power captured by the rotor and the tip-speed ratio are [28, 18]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ρ</m:t>
                </m:r>
                <m:r>
                  <m:t>π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sSub>
                  <m:e>
                    <m:r>
                      <m:t>C</m:t>
                    </m:r>
                  </m:e>
                  <m:sub>
                    <m:r>
                      <m:t>p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λ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 </m:t>
                </m:r>
                <m:sSup>
                  <m:e>
                    <m:r>
                      <m:t>v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λ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Ω</m:t>
                    </m:r>
                    <m:r>
                      <m:t>R</m:t>
                    </m:r>
                  </m:num>
                  <m:den>
                    <m:r>
                      <m:t>v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is the air density,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the rotor radius,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the wind speed,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the rotor speed 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pitch angle. The power coefficient is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0.5176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116</m:t>
                        </m:r>
                      </m:num>
                      <m:den>
                        <m:sSub>
                          <m:e>
                            <m:r>
                              <m:t>λ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0.4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+</m:t>
                </m:r>
                <m:r>
                  <m:t>0.0068</m:t>
                </m:r>
                <m:r>
                  <m:t>λ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λ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0.08</m:t>
                    </m:r>
                    <m:r>
                      <m:t>β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0.035</m:t>
                    </m:r>
                  </m:num>
                  <m:den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(2)</w:t>
            </w:r>
          </w:p>
        </w:tc>
      </w:tr>
    </w:tbl>
    <w:p>
      <w:pPr>
        <w:pStyle w:val="BodyText"/>
        <w:ind w:firstLine="0"/>
      </w:pPr>
      <w:r>
        <w:t xml:space="preserve">For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reaches its maximum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0.48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λ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r>
          <m:t>8.1</m:t>
        </m:r>
      </m:oMath>
      <w:r>
        <w:t xml:space="preserve"> </w:t>
      </w:r>
      <w:r>
        <w:t xml:space="preserve">(Figure 2). The aerodynamic torque is</w:t>
      </w:r>
      <w:r>
        <w:t xml:space="preserve"> </w:t>
      </w:r>
      <m:oMath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/</m:t>
        </m:r>
        <m:r>
          <m:t>Ω</m:t>
        </m:r>
      </m:oMath>
      <w:r>
        <w:t xml:space="preserve">. For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 MW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40</m:t>
        </m:r>
      </m:oMath>
      <w:r>
        <w:t xml:space="preserve"> m,</w:t>
      </w:r>
      <w:r>
        <w:t xml:space="preserve"> </w:t>
      </w:r>
      <w:r>
        <w:t xml:space="preserve">close to the 2 MW turbine of [7], the rated wind speed given by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ρ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  <m:sSubSup>
          <m:e>
            <m:r>
              <m:t>v</m:t>
            </m:r>
          </m:e>
          <m:sub>
            <m:r>
              <m:t>n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11.0</m:t>
        </m:r>
      </m:oMath>
      <w:r>
        <w:t xml:space="preserve"> m/s, the rated speed is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2.23</m:t>
        </m:r>
      </m:oMath>
      <w:r>
        <w:t xml:space="preserve"> rad/s and the rated torque is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0.897</m:t>
        </m:r>
      </m:oMath>
      <w:r>
        <w:t xml:space="preserve"> MN</w:t>
      </w:r>
      <m:oMath>
        <m:r>
          <m:rPr>
            <m:sty m:val="p"/>
          </m:rPr>
          <m:t>⋅</m:t>
        </m:r>
      </m:oMath>
      <w:r>
        <w:t xml:space="preserve">m.</w:t>
      </w:r>
      <w:r>
        <w:t xml:space="preserve"> </w:t>
      </w:r>
      <w:r>
        <w:t xml:space="preserve">Since the wind speed considered in this study remains below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pitch angle is kept at zero.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4608000" cy="2137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rb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2137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2.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Power coefficient for</w:t>
      </w:r>
      <w:r>
        <w:rPr>
          <w:rFonts w:ascii="Times New Roman" w:hAnsi="Times New Roman"/>
          <w:sz w:val="20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</w:t>
      </w:r>
      <w:r>
        <w:rPr>
          <w:rFonts w:ascii="Times New Roman" w:hAnsi="Times New Roman"/>
          <w:b/>
          <w:bCs/>
          <w:sz w:val="20"/>
        </w:rPr>
        <w:t xml:space="preserve">left</w:t>
      </w:r>
      <w:r>
        <w:rPr>
          <w:rFonts w:ascii="Times New Roman" w:hAnsi="Times New Roman"/>
          <w:sz w:val="20"/>
        </w:rPr>
        <w:t xml:space="preserve">) and captured power versus rotor speed with the maximum power curve (</w:t>
      </w:r>
      <w:r>
        <w:rPr>
          <w:rFonts w:ascii="Times New Roman" w:hAnsi="Times New Roman"/>
          <w:b/>
          <w:bCs/>
          <w:sz w:val="20"/>
        </w:rPr>
        <w:t xml:space="preserve">right</w:t>
      </w:r>
      <w:r>
        <w:rPr>
          <w:rFonts w:ascii="Times New Roman" w:hAnsi="Times New Roman"/>
          <w:sz w:val="20"/>
        </w:rPr>
        <w:t xml:space="preserve">).</w:t>
      </w:r>
    </w:p>
    <w:bookmarkEnd w:id="21"/>
    <w:bookmarkStart w:id="22" w:name="electrical-modeling-of-the-pmsg"/>
    <w:p>
      <w:pPr>
        <w:pStyle w:val="Heading2"/>
      </w:pPr>
      <w:r>
        <w:t xml:space="preserve">2.2. Electrical Modeling of the PMSG</w:t>
      </w:r>
    </w:p>
    <w:p>
      <w:pPr>
        <w:pStyle w:val="FirstParagraph"/>
      </w:pPr>
      <w:r>
        <w:t xml:space="preserve">In the rotor</w:t>
      </w:r>
      <w:r>
        <w:t xml:space="preserve"> </w:t>
      </w:r>
      <m:oMath>
        <m:r>
          <m:t>d</m:t>
        </m:r>
        <m:r>
          <m:t>q</m:t>
        </m:r>
      </m:oMath>
      <w:r>
        <w:t xml:space="preserve"> </w:t>
      </w:r>
      <w:r>
        <w:t xml:space="preserve">frame (amplitude-invariant transformation,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axis aligned with the magnet flux),</w:t>
      </w:r>
      <w:r>
        <w:t xml:space="preserve"> </w:t>
      </w:r>
      <w:r>
        <w:t xml:space="preserve">with the receptor convention and</w:t>
      </w:r>
      <w:r>
        <w:t xml:space="preserve"> </w:t>
      </w:r>
      <m:oMath>
        <m:sSub>
          <m:e>
            <m:r>
              <m:t>L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s</m:t>
            </m:r>
          </m:sub>
        </m:sSub>
      </m:oMath>
      <w:r>
        <w:t xml:space="preserve"> [18], the stator voltages and the</w:t>
      </w:r>
      <w:r>
        <w:t xml:space="preserve"> </w:t>
      </w:r>
      <w:r>
        <w:t xml:space="preserve">electromagnetic torque are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s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s</m:t>
                        </m:r>
                        <m:r>
                          <m:t>d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−</m:t>
                </m:r>
                <m:sSub>
                  <m:e>
                    <m:r>
                      <m:t>ω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(3)</w:t>
            </w:r>
          </w:p>
        </w:tc>
      </w:tr>
    </w:tbl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s</m:t>
                        </m:r>
                        <m:r>
                          <m:t>q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+</m:t>
                </m:r>
                <m:sSub>
                  <m:e>
                    <m:r>
                      <m:t>ω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ω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ψ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(4)</w:t>
            </w:r>
          </w:p>
        </w:tc>
      </w:tr>
    </w:tbl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t>p</m:t>
                </m:r>
                <m:r>
                  <m:t> </m:t>
                </m:r>
                <m:sSub>
                  <m:e>
                    <m:r>
                      <m:t>ψ</m:t>
                    </m:r>
                  </m:e>
                  <m:sub>
                    <m:r>
                      <m:t>f</m:t>
                    </m:r>
                  </m:sub>
                </m:sSub>
                <m:r>
                  <m:t> </m:t>
                </m:r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(5)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sSub>
          <m:e>
            <m:r>
              <m:t>ω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p</m:t>
        </m:r>
        <m:r>
          <m:t>Ω</m:t>
        </m:r>
      </m:oMath>
      <w:r>
        <w:t xml:space="preserve"> </w:t>
      </w:r>
      <w:r>
        <w:t xml:space="preserve">is the electrical speed,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the number of pole pairs and</w:t>
      </w:r>
      <w:r>
        <w:t xml:space="preserve"> </w:t>
      </w:r>
      <m:oMath>
        <m:sSub>
          <m:e>
            <m:r>
              <m:t>ψ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the magnet</w:t>
      </w:r>
      <w:r>
        <w:t xml:space="preserve"> </w:t>
      </w:r>
      <w:r>
        <w:t xml:space="preserve">flux. In the receptor convention,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q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in generating mode. With</w:t>
      </w:r>
      <w:r>
        <w:t xml:space="preserve"> </w:t>
      </w:r>
      <m:oMath>
        <m:sSub>
          <m:e>
            <m:r>
              <m:rPr>
                <m:sty m:val="b"/>
              </m:rP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d</m:t>
                    </m:r>
                  </m:sub>
                </m:sSub>
                <m:r>
                  <m:t> </m:t>
                </m:r>
                <m:sSub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v</m:t>
                    </m:r>
                  </m:e>
                  <m:sub>
                    <m:r>
                      <m:t>s</m:t>
                    </m:r>
                    <m:r>
                      <m:t>d</m:t>
                    </m:r>
                  </m:sub>
                </m:sSub>
                <m:r>
                  <m:t> </m:t>
                </m:r>
                <m:sSub>
                  <m:e>
                    <m:r>
                      <m:t>v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0</m:t>
                </m:r>
                <m:r>
                  <m:t> </m:t>
                </m:r>
                <m:r>
                  <m:t>1</m:t>
                </m:r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r>
        <w:t xml:space="preserve">skew-symmetric matrix</w:t>
      </w:r>
      <w:r>
        <w:t xml:space="preserve"> </w:t>
      </w:r>
      <m:oMath>
        <m:r>
          <m:rPr>
            <m:scr m:val="script"/>
            <m:sty m:val="p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(3)–(4) are written in the compact form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</m:acc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ω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cr m:val="script"/>
                    <m:sty m:val="p"/>
                  </m:rPr>
                  <m:t>J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ω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ψ</m:t>
                    </m:r>
                  </m:e>
                  <m:sub>
                    <m:r>
                      <m:t>f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t>q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(6)</w:t>
            </w:r>
          </w:p>
        </w:tc>
      </w:tr>
    </w:tbl>
    <w:p>
      <w:pPr>
        <w:pStyle w:val="BodyText"/>
        <w:ind w:firstLine="0"/>
      </w:pPr>
      <w:r>
        <w:t xml:space="preserve">The generator data are those of the non-salient 2 MW PMSG of [8]. At</w:t>
      </w:r>
      <w:r>
        <w:t xml:space="preserve"> </w:t>
      </w:r>
      <m:oMath>
        <m:sSub>
          <m:e>
            <m:r>
              <m:t>Ω</m:t>
            </m:r>
          </m:e>
          <m:sub>
            <m:r>
              <m:t>n</m:t>
            </m:r>
          </m:sub>
        </m:sSub>
      </m:oMath>
      <w:r>
        <w:t xml:space="preserve">, the</w:t>
      </w:r>
      <w:r>
        <w:t xml:space="preserve"> </w:t>
      </w:r>
      <w:r>
        <w:t xml:space="preserve">back-electromotive force</w:t>
      </w:r>
      <w:r>
        <w:t xml:space="preserve"> </w:t>
      </w:r>
      <m:oMath>
        <m:r>
          <m:t>p</m:t>
        </m:r>
        <m:sSub>
          <m:e>
            <m:r>
              <m:t>Ω</m:t>
            </m:r>
          </m:e>
          <m:sub>
            <m:r>
              <m:t>n</m:t>
            </m:r>
          </m:sub>
        </m:sSub>
        <m:sSub>
          <m:e>
            <m:r>
              <m:t>ψ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532</m:t>
        </m:r>
      </m:oMath>
      <w:r>
        <w:t xml:space="preserve"> V is close to the peak phase voltage of the grid (563 V).</w:t>
      </w:r>
    </w:p>
    <w:bookmarkEnd w:id="22"/>
    <w:bookmarkStart w:id="23" w:name="mechanical-dynamics"/>
    <w:p>
      <w:pPr>
        <w:pStyle w:val="Heading2"/>
      </w:pPr>
      <w:r>
        <w:t xml:space="preserve">2.3. Mechanical Dynamics</w:t>
      </w:r>
    </w:p>
    <w:p>
      <w:pPr>
        <w:pStyle w:val="FirstParagraph"/>
      </w:pPr>
      <w:r>
        <w:t xml:space="preserve">The direct-drive shaft is described by the one-mass model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J</m:t>
                </m:r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Ω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T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t>Ω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(7)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total inertia of the turbine and generator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friction coefficient.</w:t>
      </w:r>
    </w:p>
    <w:bookmarkEnd w:id="23"/>
    <w:bookmarkStart w:id="24" w:name="back-to-back-converter-and-dc-link"/>
    <w:p>
      <w:pPr>
        <w:pStyle w:val="Heading2"/>
      </w:pPr>
      <w:r>
        <w:t xml:space="preserve">2.4. Back-to-Back Converter and DC Link</w:t>
      </w:r>
    </w:p>
    <w:p>
      <w:pPr>
        <w:pStyle w:val="FirstParagraph"/>
      </w:pPr>
      <w:r>
        <w:t xml:space="preserve">The two-level converters are represented by their average model, with voltage vectors limited to the</w:t>
      </w:r>
      <w:r>
        <w:t xml:space="preserve"> </w:t>
      </w:r>
      <w:r>
        <w:t xml:space="preserve">linear range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of the space-vector modulation. The DC link receives the power of the MSC</w:t>
      </w:r>
      <w:r>
        <w:t xml:space="preserve"> </w:t>
      </w:r>
      <w:r>
        <w:t xml:space="preserve">and supplies the GSC [18]: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C</m:t>
                </m:r>
                <m:sSub>
                  <m:e>
                    <m:r>
                      <m:t>V</m:t>
                    </m:r>
                  </m:e>
                  <m:sub>
                    <m:r>
                      <m:t>d</m:t>
                    </m:r>
                    <m:r>
                      <m:t>c</m:t>
                    </m:r>
                  </m:sub>
                </m:sSub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d</m:t>
                        </m:r>
                        <m:r>
                          <m:t>c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d</m:t>
                    </m:r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P</m:t>
                    </m:r>
                  </m:e>
                  <m:sub>
                    <m:r>
                      <m:t>d</m:t>
                    </m:r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sSubSup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s</m:t>
                    </m:r>
                  </m:sub>
                  <m:sup>
                    <m:r>
                      <m:t>T</m:t>
                    </m:r>
                  </m:sup>
                </m:sSubSup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sSubSup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i</m:t>
                    </m:r>
                  </m:sub>
                  <m:sup>
                    <m:r>
                      <m:t>T</m:t>
                    </m:r>
                  </m:sup>
                </m:sSubSup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(8)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GSC voltage and</w:t>
      </w:r>
      <w:r>
        <w:t xml:space="preserve"> </w:t>
      </w:r>
      <m:oMath>
        <m:sSub>
          <m:e>
            <m:r>
              <m:rPr>
                <m:sty m:val="b"/>
              </m:rPr>
              <m:t>i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the grid current.</w:t>
      </w:r>
    </w:p>
    <w:bookmarkEnd w:id="24"/>
    <w:bookmarkStart w:id="25" w:name="l-filter-and-grid"/>
    <w:p>
      <w:pPr>
        <w:pStyle w:val="Heading2"/>
      </w:pPr>
      <w:r>
        <w:t xml:space="preserve">2.5.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Filter and Grid</w:t>
      </w:r>
    </w:p>
    <w:p>
      <w:pPr>
        <w:pStyle w:val="FirstParagraph"/>
      </w:pPr>
      <w:r>
        <w:t xml:space="preserve">In the grid-voltage-oriented frame (</w:t>
      </w:r>
      <m:oMath>
        <m:sSub>
          <m:e>
            <m:r>
              <m:t>v</m:t>
            </m:r>
          </m:e>
          <m:sub>
            <m:r>
              <m:t>g</m:t>
            </m:r>
            <m:r>
              <m:t>q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with the current counted from the converter towards</w:t>
      </w:r>
      <w:r>
        <w:t xml:space="preserve"> </w:t>
      </w:r>
      <w:r>
        <w:t xml:space="preserve">the grid [18],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t>f</m:t>
                    </m:r>
                  </m:sub>
                </m:sSub>
                <m:sSub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</m:acc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f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ω</m:t>
                    </m:r>
                  </m:e>
                  <m:sub>
                    <m:r>
                      <m:t>g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cr m:val="script"/>
                    <m:sty m:val="p"/>
                  </m:rPr>
                  <m:t>J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(9)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grid angular frequency, and the grid powers are</w:t>
      </w:r>
      <w:r>
        <w:t xml:space="preserve"> </w:t>
      </w:r>
      <m:oMath>
        <m:sSub>
          <m:e>
            <m:r>
              <m:t>P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v</m:t>
            </m:r>
          </m:e>
          <m:sub>
            <m:r>
              <m:t>g</m:t>
            </m:r>
            <m:r>
              <m:t>d</m:t>
            </m:r>
          </m:sub>
        </m:sSub>
        <m:sSub>
          <m:e>
            <m:r>
              <m:t>i</m:t>
            </m:r>
          </m:e>
          <m:sub>
            <m:r>
              <m:t>g</m:t>
            </m:r>
            <m: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v</m:t>
            </m:r>
          </m:e>
          <m:sub>
            <m:r>
              <m:t>g</m:t>
            </m:r>
            <m:r>
              <m:t>d</m:t>
            </m:r>
          </m:sub>
        </m:sSub>
        <m:sSub>
          <m:e>
            <m:r>
              <m:t>i</m:t>
            </m:r>
          </m:e>
          <m:sub>
            <m:r>
              <m:t>g</m:t>
            </m:r>
            <m:r>
              <m:t>q</m:t>
            </m:r>
          </m:sub>
        </m:sSub>
      </m:oMath>
      <w:r>
        <w:t xml:space="preserve">.</w:t>
      </w:r>
    </w:p>
    <w:bookmarkEnd w:id="25"/>
    <w:bookmarkStart w:id="26" w:name="power-balance-of-the-model"/>
    <w:p>
      <w:pPr>
        <w:pStyle w:val="Heading2"/>
      </w:pPr>
      <w:r>
        <w:t xml:space="preserve">2.6. Power Balance of the Model</w:t>
      </w:r>
    </w:p>
    <w:p>
      <w:pPr>
        <w:pStyle w:val="FirstParagraph"/>
      </w:pPr>
      <w:r>
        <w:t xml:space="preserve">With the total stored energy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J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b>
          <m:e>
            <m:r>
              <m:t>L</m:t>
            </m:r>
          </m:e>
          <m:sub>
            <m:r>
              <m:t>s</m:t>
            </m:r>
          </m:sub>
        </m:sSub>
        <m:r>
          <m:rPr>
            <m:sty m:val="p"/>
          </m:rPr>
          <m:t>∥</m:t>
        </m:r>
        <m:sSub>
          <m:e>
            <m:r>
              <m:rPr>
                <m:sty m:val="b"/>
              </m:rPr>
              <m:t>i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sSubSup>
          <m:e>
            <m:r>
              <m:t>V</m:t>
            </m:r>
          </m:e>
          <m:sub>
            <m:r>
              <m:t>d</m:t>
            </m:r>
            <m:r>
              <m:t>c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∥</m:t>
        </m:r>
        <m:sSub>
          <m:e>
            <m:r>
              <m:rPr>
                <m:sty m:val="b"/>
              </m:rPr>
              <m:t>i</m:t>
            </m:r>
          </m:e>
          <m:sub>
            <m:r>
              <m:t>g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, and since</w:t>
      </w:r>
      <w:r>
        <w:t xml:space="preserve"> </w:t>
      </w:r>
      <m:oMath>
        <m:sSup>
          <m:e>
            <m:r>
              <m:rPr>
                <m:sty m:val="b"/>
              </m:rPr>
              <m:t>x</m:t>
            </m:r>
          </m:e>
          <m:sup>
            <m:r>
              <m:t>T</m:t>
            </m:r>
          </m:sup>
        </m:sSup>
        <m:r>
          <m:rPr>
            <m:scr m:val="script"/>
            <m:sty m:val="p"/>
          </m:rPr>
          <m:t>J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t>Ω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t>ω</m:t>
            </m:r>
          </m:e>
          <m:sub>
            <m:r>
              <m:t>e</m:t>
            </m:r>
          </m:sub>
        </m:sSub>
        <m:sSub>
          <m:e>
            <m:r>
              <m:t>ψ</m:t>
            </m:r>
          </m:e>
          <m:sub>
            <m:r>
              <m:t>f</m:t>
            </m:r>
          </m:sub>
        </m:sSub>
        <m:sSub>
          <m:e>
            <m:r>
              <m:t>i</m:t>
            </m:r>
          </m:e>
          <m:sub>
            <m:r>
              <m:t>s</m:t>
            </m:r>
            <m:r>
              <m:t>q</m:t>
            </m:r>
          </m:sub>
        </m:sSub>
      </m:oMath>
      <w:r>
        <w:t xml:space="preserve">, the model</w:t>
      </w:r>
      <w:r>
        <w:t xml:space="preserve"> </w:t>
      </w:r>
      <w:r>
        <w:t xml:space="preserve">(1)–(9) gives, for any state and any converter voltages,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̇"/>
                  </m:accPr>
                  <m:e>
                    <m:r>
                      <m:t>E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B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R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∥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s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R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∥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g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(10)</w:t>
            </w:r>
          </w:p>
        </w:tc>
      </w:tr>
    </w:tbl>
    <w:p>
      <w:pPr>
        <w:pStyle w:val="BodyText"/>
        <w:ind w:firstLine="0"/>
      </w:pPr>
      <w:r>
        <w:t xml:space="preserve">The captured power is therefore stored, dissipated in the friction and in the resistances, or injected</w:t>
      </w:r>
      <w:r>
        <w:t xml:space="preserve"> </w:t>
      </w:r>
      <w:r>
        <w:t xml:space="preserve">into the grid. This balance verifies the sign of every term of the model; its numerical residual, evaluated</w:t>
      </w:r>
      <w:r>
        <w:t xml:space="preserve"> </w:t>
      </w:r>
      <w:r>
        <w:t xml:space="preserve">at random states and inputs,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  <w:keepNext/>
        <w:spacing w:before="200" w:after="80"/>
        <w:ind w:firstLine="0"/>
        <w:jc w:val="center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Table 1.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Parameters of the studied system.</w:t>
      </w:r>
    </w:p>
    <w:tbl>
      <w:tblPr>
        <w:tblStyle w:val="Table"/>
        <w:tblW w:type="dxa" w:w="8391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3175"/>
        <w:gridCol w:w="1247"/>
        <w:gridCol w:w="2494"/>
        <w:gridCol w:w="1474"/>
      </w:tblGrid>
      <w:tr>
        <w:trPr>
          <w:tblHeader w:val="true"/>
          <w:cantSplit/>
        </w:trPr>
        <w:tc>
          <w:tcPr>
            <w:tcW w:type="dxa" w:w="3175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Parameter</w:t>
            </w:r>
          </w:p>
        </w:tc>
        <w:tc>
          <w:tcPr>
            <w:tcW w:type="dxa" w:w="1247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Symbol</w:t>
            </w:r>
          </w:p>
        </w:tc>
        <w:tc>
          <w:tcPr>
            <w:tcW w:type="dxa" w:w="2494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Value</w:t>
            </w:r>
          </w:p>
        </w:tc>
        <w:tc>
          <w:tcPr>
            <w:tcW w:type="dxa" w:w="1474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Rated power</w:t>
            </w:r>
          </w:p>
        </w:tc>
        <w:tc>
          <w:tcPr>
            <w:tcW w:type="dxa" w:w="1247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>
            <w:tcW w:type="dxa" w:w="249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 MW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[8]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Rotor radius</w:t>
            </w:r>
          </w:p>
        </w:tc>
        <w:tc>
          <w:tcPr>
            <w:tcW w:type="dxa" w:w="1247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r>
                <m:t>R</m:t>
              </m:r>
            </m:oMath>
          </w:p>
        </w:tc>
        <w:tc>
          <w:tcPr>
            <w:tcW w:type="dxa" w:w="249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40 m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[7]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Air density</w:t>
            </w:r>
          </w:p>
        </w:tc>
        <w:tc>
          <w:tcPr>
            <w:tcW w:type="dxa" w:w="1247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r>
                <m:t>ρ</m:t>
              </m:r>
            </m:oMath>
          </w:p>
        </w:tc>
        <w:tc>
          <w:tcPr>
            <w:tcW w:type="dxa" w:w="249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1.225 kg/m</w:t>
            </w:r>
            <w:r>
              <w:rPr>
                <w:rFonts w:ascii="Times New Roman" w:hAnsi="Times New Roman"/>
                <w:sz w:val="20"/>
                <w:vertAlign w:val="superscript"/>
              </w:rPr>
              <w:t xml:space="preserve">3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[18]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Rated wind speed / rotor speed</w:t>
            </w:r>
          </w:p>
        </w:tc>
        <w:tc>
          <w:tcPr>
            <w:tcW w:type="dxa" w:w="1247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>
            <w:tcW w:type="dxa" w:w="249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11.0 m/s, 2.23 rad/s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(1)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Total inertia</w:t>
            </w:r>
          </w:p>
        </w:tc>
        <w:tc>
          <w:tcPr>
            <w:tcW w:type="dxa" w:w="1247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r>
                <m:t>J</m:t>
              </m:r>
            </m:oMath>
          </w:p>
        </w:tc>
        <w:tc>
          <w:tcPr>
            <w:tcW w:type="dxa" w:w="249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r>
                <m:t>2.8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kg</w:t>
            </w:r>
            <m:oMath>
              <m:r>
                <m:rPr>
                  <m:sty m:val="p"/>
                </m:rPr>
                <m:t>⋅</m:t>
              </m:r>
            </m:oMath>
            <w:r>
              <w:rPr>
                <w:rFonts w:ascii="Times New Roman" w:hAnsi="Times New Roman"/>
                <w:sz w:val="20"/>
              </w:rPr>
              <w:t xml:space="preserve">m</w:t>
            </w:r>
            <w:r>
              <w:rPr>
                <w:rFonts w:ascii="Times New Roman" w:hAnsi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Friction coefficient</w:t>
            </w:r>
          </w:p>
        </w:tc>
        <w:tc>
          <w:tcPr>
            <w:tcW w:type="dxa" w:w="1247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r>
                <m:t>B</m:t>
              </m:r>
            </m:oMath>
          </w:p>
        </w:tc>
        <w:tc>
          <w:tcPr>
            <w:tcW w:type="dxa" w:w="249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N</w:t>
            </w:r>
            <m:oMath>
              <m:r>
                <m:rPr>
                  <m:sty m:val="p"/>
                </m:rPr>
                <m:t>⋅</m:t>
              </m:r>
            </m:oMath>
            <w:r>
              <w:rPr>
                <w:rFonts w:ascii="Times New Roman" w:hAnsi="Times New Roman"/>
                <w:sz w:val="20"/>
              </w:rPr>
              <w:t xml:space="preserve">m</w:t>
            </w:r>
            <m:oMath>
              <m:r>
                <m:rPr>
                  <m:sty m:val="p"/>
                </m:rPr>
                <m:t>⋅</m:t>
              </m:r>
            </m:oMath>
            <w:r>
              <w:rPr>
                <w:rFonts w:ascii="Times New Roman" w:hAnsi="Times New Roman"/>
                <w:sz w:val="20"/>
              </w:rPr>
              <w:t xml:space="preserve">s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assumed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Pole pairs</w:t>
            </w:r>
          </w:p>
        </w:tc>
        <w:tc>
          <w:tcPr>
            <w:tcW w:type="dxa" w:w="1247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r>
                <m:t>p</m:t>
              </m:r>
            </m:oMath>
          </w:p>
        </w:tc>
        <w:tc>
          <w:tcPr>
            <w:tcW w:type="dxa" w:w="249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26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[8]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Stator resistance</w:t>
            </w:r>
          </w:p>
        </w:tc>
        <w:tc>
          <w:tcPr>
            <w:tcW w:type="dxa" w:w="1247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type="dxa" w:w="249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0.78 m</w:t>
            </w:r>
            <m:oMath>
              <m:r>
                <m:t>Ω</m:t>
              </m:r>
            </m:oMath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[8]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Stator inductance</w:t>
            </w:r>
          </w:p>
        </w:tc>
        <w:tc>
          <w:tcPr>
            <w:tcW w:type="dxa" w:w="1247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type="dxa" w:w="249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1.57 mH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[8]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Magnet flux</w:t>
            </w:r>
          </w:p>
        </w:tc>
        <w:tc>
          <w:tcPr>
            <w:tcW w:type="dxa" w:w="1247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ψ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>
            <w:tcW w:type="dxa" w:w="249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9.18 Wb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[8]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DC-link capacitance and voltage</w:t>
            </w:r>
          </w:p>
        </w:tc>
        <w:tc>
          <w:tcPr>
            <w:tcW w:type="dxa" w:w="1247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r>
                <m:t>C</m:t>
              </m:r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</w:p>
        </w:tc>
        <w:tc>
          <w:tcPr>
            <w:tcW w:type="dxa" w:w="249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20 mF, 1200 V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[8]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Filter inductance and resistance</w:t>
            </w:r>
          </w:p>
        </w:tc>
        <w:tc>
          <w:tcPr>
            <w:tcW w:type="dxa" w:w="1247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>
            <w:tcW w:type="dxa" w:w="249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0.15 mH, 2 m</w:t>
            </w:r>
            <m:oMath>
              <m:r>
                <m:t>Ω</m:t>
              </m:r>
            </m:oMath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[8], assumed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Grid voltage and frequency</w:t>
            </w:r>
          </w:p>
        </w:tc>
        <w:tc>
          <w:tcPr>
            <w:tcW w:type="dxa" w:w="1247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49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690 V, 50 Hz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[8]</w:t>
            </w:r>
          </w:p>
        </w:tc>
      </w:tr>
      <w:tr>
        <w:trPr>
          <w:cantSplit/>
        </w:trPr>
        <w:tc>
          <w:tcPr>
            <w:tcW w:type="dxa" w:w="3175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Switching frequency</w:t>
            </w:r>
          </w:p>
        </w:tc>
        <w:tc>
          <w:tcPr>
            <w:tcW w:type="dxa" w:w="1247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</w:p>
        </w:tc>
        <w:tc>
          <w:tcPr>
            <w:tcW w:type="dxa" w:w="2494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2160 Hz</w:t>
            </w:r>
          </w:p>
        </w:tc>
        <w:tc>
          <w:tcPr>
            <w:tcW w:type="dxa" w:w="1474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[8]</w:t>
            </w:r>
          </w:p>
        </w:tc>
      </w:tr>
    </w:tbl>
    <w:bookmarkEnd w:id="26"/>
    <w:bookmarkEnd w:id="27"/>
    <w:bookmarkStart w:id="32" w:name="Xd3bc1a07c447d3fbe7c1fcaf6b22976bef5e56e"/>
    <w:p>
      <w:pPr>
        <w:pStyle w:val="Heading1"/>
      </w:pPr>
      <w:r>
        <w:t xml:space="preserve">3. Proposed Flatness-Based and Passivity-Based Control</w:t>
      </w:r>
    </w:p>
    <w:p>
      <w:pPr>
        <w:pStyle w:val="FirstParagraph"/>
      </w:pPr>
      <w:r>
        <w:t xml:space="preserve">In this article, the outer loops are designed by differential flatness and the current loops by</w:t>
      </w:r>
      <w:r>
        <w:t xml:space="preserve"> </w:t>
      </w:r>
      <w:r>
        <w:t xml:space="preserve">passivity-based control. The objective of this combination is to compute the references directly from</w:t>
      </w:r>
      <w:r>
        <w:t xml:space="preserve"> </w:t>
      </w:r>
      <w:r>
        <w:t xml:space="preserve">the model, so that the generator power is passed to the grid without waiting for an error on the DC-link</w:t>
      </w:r>
      <w:r>
        <w:t xml:space="preserve"> </w:t>
      </w:r>
      <w:r>
        <w:t xml:space="preserve">voltage, while the current loops keep the energy structure of the machine and of the filter. The</w:t>
      </w:r>
      <w:r>
        <w:t xml:space="preserve"> </w:t>
      </w:r>
      <w:r>
        <w:t xml:space="preserve">architecture of the proposed control is presented in Figure 3. All the errors are</w:t>
      </w:r>
      <w:r>
        <w:t xml:space="preserve"> </w:t>
      </w:r>
      <w:r>
        <w:t xml:space="preserve">defined as measured minus reference values. The controller is sampled at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b>
              <m:e>
                <m:r>
                  <m:t>f</m:t>
                </m:r>
              </m:e>
              <m:sub>
                <m:r>
                  <m:t>s</m:t>
                </m:r>
                <m:r>
                  <m:t>w</m:t>
                </m:r>
              </m:sub>
            </m:sSub>
          </m:e>
        </m:d>
        <m:r>
          <m:rPr>
            <m:sty m:val="p"/>
          </m:rPr>
          <m:t>=</m:t>
        </m:r>
        <m:r>
          <m:t>231.5</m:t>
        </m:r>
        <m:r>
          <m:t> </m:t>
        </m:r>
        <m:r>
          <m:t>μ</m:t>
        </m:r>
      </m:oMath>
      <w:r>
        <w:t xml:space="preserve">s,</w:t>
      </w:r>
      <w:r>
        <w:t xml:space="preserve"> </w:t>
      </w:r>
      <w:r>
        <w:t xml:space="preserve">and the converter voltages are applied one sample after their computation.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4031999" cy="3167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1999" cy="316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3.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Structure of the proposed control: flat outer loops, PBC current loops and adaptive RBF compensation.</w:t>
      </w:r>
    </w:p>
    <w:bookmarkStart w:id="28" w:name="mppt-reference"/>
    <w:p>
      <w:pPr>
        <w:pStyle w:val="Heading2"/>
      </w:pPr>
      <w:r>
        <w:t xml:space="preserve">3.1. MPPT Reference</w:t>
      </w:r>
    </w:p>
    <w:p>
      <w:pPr>
        <w:pStyle w:val="FirstParagraph"/>
      </w:pPr>
      <w:r>
        <w:t xml:space="preserve">The optimal rotor speed</w:t>
      </w:r>
      <w:r>
        <w:t xml:space="preserve"> </w:t>
      </w:r>
      <m:oMath>
        <m:sSub>
          <m:e>
            <m:r>
              <m:t>Ω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o</m:t>
            </m:r>
            <m:r>
              <m:t>p</m:t>
            </m:r>
            <m:r>
              <m:t>t</m:t>
            </m:r>
          </m:sub>
        </m:sSub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r>
          <m:t>R</m:t>
        </m:r>
      </m:oMath>
      <w:r>
        <w:t xml:space="preserve">, computed from the anemometer measurement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limited to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0.5</m:t>
            </m:r>
            <m:sSub>
              <m:e>
                <m:r>
                  <m:t>Ω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Ω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, is filtered by the second-order model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acc>
                      <m:accPr>
                        <m:chr m:val="̈"/>
                      </m:accPr>
                      <m:e>
                        <m:r>
                          <m:t>Ω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sSubSup>
                  <m:e>
                    <m:r>
                      <m:t>ω</m:t>
                    </m:r>
                  </m:e>
                  <m:sub>
                    <m:r>
                      <m:t>r</m:t>
                    </m:r>
                  </m:sub>
                  <m:sup>
                    <m:r>
                      <m:t>2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o</m:t>
                        </m:r>
                        <m:r>
                          <m:t>p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sSub>
                  <m:e>
                    <m:r>
                      <m:t>ω</m:t>
                    </m:r>
                  </m:e>
                  <m:sub>
                    <m:r>
                      <m:t>r</m:t>
                    </m:r>
                  </m:sub>
                </m:sSub>
                <m:sSup>
                  <m:e>
                    <m:acc>
                      <m:accPr>
                        <m:chr m:val="̇"/>
                      </m:accPr>
                      <m:e>
                        <m:r>
                          <m:t>Ω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(11)</w:t>
            </w:r>
          </w:p>
        </w:tc>
      </w:tr>
    </w:tbl>
    <w:p>
      <w:pPr>
        <w:pStyle w:val="BodyText"/>
        <w:ind w:firstLine="0"/>
      </w:pPr>
      <w:r>
        <w:t xml:space="preserve">with</w:t>
      </w:r>
      <w:r>
        <w:t xml:space="preserve"> </w:t>
      </w:r>
      <m:oMath>
        <m:sSub>
          <m:e>
            <m:r>
              <m:t>ω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 rad/s, which gives a smooth reference</w:t>
      </w:r>
      <w:r>
        <w:t xml:space="preserve"> </w:t>
      </w:r>
      <m:oMath>
        <m:sSup>
          <m:e>
            <m:r>
              <m:t>Ω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its derivative</w:t>
      </w:r>
      <w:r>
        <w:t xml:space="preserve"> </w:t>
      </w:r>
      <m:oMath>
        <m:sSup>
          <m:e>
            <m:acc>
              <m:accPr>
                <m:chr m:val="̇"/>
              </m:accPr>
              <m:e>
                <m:r>
                  <m:t>Ω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8"/>
    <w:bookmarkStart w:id="29" w:name="flatness-based-speed-loop"/>
    <w:p>
      <w:pPr>
        <w:pStyle w:val="Heading2"/>
      </w:pPr>
      <w:r>
        <w:t xml:space="preserve">3.2. Flatness-Based Speed Loop</w:t>
      </w:r>
    </w:p>
    <w:p>
      <w:pPr>
        <w:pStyle w:val="FirstParagraph"/>
      </w:pPr>
      <w:r>
        <w:t xml:space="preserve">From (7),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J</m:t>
        </m:r>
        <m:acc>
          <m:accPr>
            <m:chr m:val="̇"/>
          </m:accPr>
          <m:e>
            <m:r>
              <m:t>Ω</m:t>
            </m:r>
          </m:e>
        </m:acc>
        <m:r>
          <m:rPr>
            <m:sty m:val="p"/>
          </m:rPr>
          <m:t>+</m:t>
        </m:r>
        <m:r>
          <m:t>B</m:t>
        </m:r>
        <m:r>
          <m:t>Ω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w</m:t>
            </m:r>
          </m:sub>
        </m:sSub>
      </m:oMath>
      <w:r>
        <w:t xml:space="preserve">: the rotor speed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a flat output of the</w:t>
      </w:r>
      <w:r>
        <w:t xml:space="preserve"> </w:t>
      </w:r>
      <w:r>
        <w:t xml:space="preserve">shaft with input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</m:sub>
        </m:sSub>
      </m:oMath>
      <w:r>
        <w:t xml:space="preserve">, i.e.,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q</m:t>
            </m:r>
          </m:sub>
        </m:sSub>
      </m:oMath>
      <w:r>
        <w:t xml:space="preserve"> [17, 18]. Imposing</w:t>
      </w:r>
      <w:r>
        <w:t xml:space="preserve"> </w:t>
      </w:r>
      <m:oMath>
        <m:acc>
          <m:accPr>
            <m:chr m:val="̇"/>
          </m:accPr>
          <m:e>
            <m:r>
              <m:t>Ω</m:t>
            </m:r>
          </m:e>
        </m:acc>
        <m:r>
          <m:rPr>
            <m:sty m:val="p"/>
          </m:rPr>
          <m:t>=</m:t>
        </m:r>
        <m:sSub>
          <m:e>
            <m:r>
              <m:t>ν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ν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̇"/>
                      </m:accPr>
                      <m:e>
                        <m:r>
                          <m:t>Ω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11</m:t>
                    </m:r>
                  </m:sub>
                </m:sSub>
                <m:sSub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12</m:t>
                    </m:r>
                  </m:sub>
                </m:sSub>
                <m:r>
                  <m:t>​</m:t>
                </m:r>
                <m:r>
                  <m:rPr>
                    <m:sty m:val="p"/>
                  </m:rPr>
                  <m:t>∫</m:t>
                </m:r>
                <m:r>
                  <m:t>​</m:t>
                </m:r>
                <m:sSub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</m:sSub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Ω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Ω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(12)</w:t>
            </w:r>
          </w:p>
        </w:tc>
      </w:tr>
    </w:tbl>
    <w:p>
      <w:pPr>
        <w:pStyle w:val="BodyText"/>
        <w:ind w:firstLine="0"/>
      </w:pPr>
      <w:r>
        <w:t xml:space="preserve">gives the torque and current references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e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J</m:t>
                </m:r>
                <m:sSub>
                  <m:e>
                    <m:r>
                      <m:t>ν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Ω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T</m:t>
                        </m:r>
                      </m:e>
                    </m:acc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Δ</m:t>
                    </m:r>
                  </m:e>
                </m:acc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q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e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</m:num>
                  <m:den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p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i</m:t>
                    </m:r>
                  </m:e>
                  <m:sub>
                    <m:r>
                      <m:t>s</m:t>
                    </m:r>
                    <m:r>
                      <m:t>d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(13)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is computed from (1)–(2) with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t xml:space="preserve">neural compensation of Section 4 (</w:t>
      </w:r>
      <m:oMath>
        <m:acc>
          <m:accPr>
            <m:chr m:val="̂"/>
          </m:accPr>
          <m:e>
            <m:r>
              <m:t>Δ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 nominal controller).</w:t>
      </w:r>
      <w:r>
        <w:t xml:space="preserve"> </w:t>
      </w:r>
      <m:oMath>
        <m:sSubSup>
          <m:e>
            <m:r>
              <m:t>T</m:t>
            </m:r>
          </m:e>
          <m:sub>
            <m:r>
              <m:t>e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 limited to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1.2</m:t>
            </m:r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with the integration frozen at the limit. With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q</m:t>
            </m:r>
          </m:sub>
        </m:sSub>
        <m:r>
          <m:rPr>
            <m:sty m:val="p"/>
          </m:rPr>
          <m:t>=</m:t>
        </m:r>
        <m:sSubSup>
          <m:e>
            <m:r>
              <m:t>i</m:t>
            </m:r>
          </m:e>
          <m:sub>
            <m:r>
              <m:t>s</m:t>
            </m:r>
            <m:r>
              <m:t>q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w</m:t>
            </m:r>
          </m:sub>
        </m:sSub>
      </m:oMath>
      <w:r>
        <w:t xml:space="preserve">, the speed error obeys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J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t>e</m:t>
                            </m:r>
                          </m:e>
                        </m:acc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e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​</m:t>
                    </m:r>
                    <m:r>
                      <m:rPr>
                        <m:sty m:val="p"/>
                      </m:rPr>
                      <m:t>∫</m:t>
                    </m:r>
                    <m:r>
                      <m:t>​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Δ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Δ</m:t>
                    </m:r>
                  </m:e>
                </m:acc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(14)</w:t>
            </w:r>
          </w:p>
        </w:tc>
      </w:tr>
    </w:tbl>
    <w:bookmarkEnd w:id="29"/>
    <w:bookmarkStart w:id="30" w:name="flatness-based-dc-link-loop"/>
    <w:p>
      <w:pPr>
        <w:pStyle w:val="Heading2"/>
      </w:pPr>
      <w:r>
        <w:t xml:space="preserve">3.3. Flatness-Based DC-Link Loop</w:t>
      </w:r>
    </w:p>
    <w:p>
      <w:pPr>
        <w:pStyle w:val="FirstParagraph"/>
      </w:pPr>
      <w:r>
        <w:t xml:space="preserve">The flat output of the DC-link loop is the energy stored in the DC link and in the filter,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sSubSup>
          <m:e>
            <m:r>
              <m:t>V</m:t>
            </m:r>
          </m:e>
          <m:sub>
            <m:r>
              <m:t>d</m:t>
            </m:r>
            <m:r>
              <m:t>c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∥</m:t>
        </m:r>
        <m:sSub>
          <m:e>
            <m:r>
              <m:rPr>
                <m:sty m:val="b"/>
              </m:rPr>
              <m:t>i</m:t>
            </m:r>
          </m:e>
          <m:sub>
            <m:r>
              <m:t>g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. From (8)–(9),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d</m:t>
                    </m:r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R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∥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g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(15)</w:t>
            </w:r>
          </w:p>
        </w:tc>
      </w:tr>
    </w:tbl>
    <w:p>
      <w:pPr>
        <w:pStyle w:val="BodyText"/>
        <w:ind w:firstLine="0"/>
      </w:pPr>
      <w:r>
        <w:t xml:space="preserve">which is linear in the grid power [19]. Imposing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21</m:t>
            </m:r>
          </m:sub>
        </m:sSub>
        <m:sSub>
          <m:e>
            <m:r>
              <m:t>e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22</m:t>
            </m:r>
          </m:sub>
        </m:sSub>
        <m:r>
          <m:rPr>
            <m:sty m:val="p"/>
          </m:rPr>
          <m:t>∫</m:t>
        </m:r>
        <m:sSub>
          <m:e>
            <m:r>
              <m:t>e</m:t>
            </m:r>
          </m:e>
          <m:sub>
            <m:r>
              <m:t>y</m:t>
            </m:r>
          </m:sub>
        </m:sSub>
        <m:r>
          <m:t> </m:t>
        </m:r>
        <m:r>
          <m:t>d</m:t>
        </m:r>
        <m: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e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y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C</m:t>
        </m:r>
        <m:sSubSup>
          <m:e>
            <m:r>
              <m:t>V</m:t>
            </m:r>
          </m:e>
          <m:sub>
            <m:r>
              <m:t>d</m:t>
            </m:r>
            <m:r>
              <m:t>c</m:t>
            </m:r>
          </m:sub>
          <m:sup>
            <m:r>
              <m:rPr>
                <m:sty m:val="p"/>
              </m:rPr>
              <m:t>*</m:t>
            </m:r>
            <m:r>
              <m:t>2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∥</m:t>
        </m:r>
        <m:sSubSup>
          <m:e>
            <m:r>
              <m:rPr>
                <m:sty m:val="b"/>
              </m:rPr>
              <m:t>i</m:t>
            </m:r>
          </m:e>
          <m:sub>
            <m:r>
              <m:t>g</m:t>
            </m:r>
          </m:sub>
          <m:sup>
            <m:r>
              <m:rPr>
                <m:sty m:val="p"/>
              </m:rPr>
              <m:t>*</m:t>
            </m:r>
          </m:sup>
        </m:sSubSup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, gives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P</m:t>
                    </m:r>
                  </m:e>
                  <m:sub>
                    <m:r>
                      <m:t>g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d</m:t>
                    </m:r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R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∥</m:t>
                </m:r>
                <m:sSub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g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21</m:t>
                    </m:r>
                  </m:sub>
                </m:sSub>
                <m:sSub>
                  <m:e>
                    <m:r>
                      <m:t>e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22</m:t>
                    </m:r>
                  </m:sub>
                </m:sSub>
                <m:r>
                  <m:t>​</m:t>
                </m:r>
                <m:r>
                  <m:rPr>
                    <m:sty m:val="p"/>
                  </m:rPr>
                  <m:t>∫</m:t>
                </m:r>
                <m:r>
                  <m:t>​</m:t>
                </m:r>
                <m:sSub>
                  <m:e>
                    <m:r>
                      <m:t>e</m:t>
                    </m:r>
                  </m:e>
                  <m:sub>
                    <m:r>
                      <m:t>y</m:t>
                    </m:r>
                  </m:sub>
                </m:sSub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i</m:t>
                    </m:r>
                  </m:e>
                  <m:sub>
                    <m:r>
                      <m:t>g</m:t>
                    </m:r>
                    <m:r>
                      <m:t>d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Sup>
                      <m:e>
                        <m:r>
                          <m:t>P</m:t>
                        </m:r>
                      </m:e>
                      <m:sub>
                        <m:r>
                          <m:t>g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</m:num>
                  <m:den>
                    <m:r>
                      <m:t>3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g</m:t>
                        </m:r>
                        <m:r>
                          <m:t>d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Sup>
                  <m:e>
                    <m:r>
                      <m:t>i</m:t>
                    </m:r>
                  </m:e>
                  <m:sub>
                    <m:r>
                      <m:t>g</m:t>
                    </m:r>
                    <m:r>
                      <m:t>q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(16)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sSubSup>
          <m:e>
            <m:r>
              <m:t>i</m:t>
            </m:r>
          </m:e>
          <m:sub>
            <m:r>
              <m:t>g</m:t>
            </m:r>
            <m:r>
              <m:t>q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a unity power factor.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t xml:space="preserve">is computed from the applied MSC voltages and the</w:t>
      </w:r>
      <w:r>
        <w:t xml:space="preserve"> </w:t>
      </w:r>
      <w:r>
        <w:t xml:space="preserve">measured currents, so that the generator power is passed to the grid before it changes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.</w:t>
      </w:r>
    </w:p>
    <w:bookmarkEnd w:id="30"/>
    <w:bookmarkStart w:id="31" w:name="passivity-based-current-loops"/>
    <w:p>
      <w:pPr>
        <w:pStyle w:val="Heading2"/>
      </w:pPr>
      <w:r>
        <w:t xml:space="preserve">3.4. Passivity-Based Current Loops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Sup>
          <m:e>
            <m:r>
              <m:rPr>
                <m:sty m:val="b"/>
              </m:rPr>
              <m:t>i</m:t>
            </m:r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rPr>
                    <m:sty m:val="b"/>
                  </m:rPr>
                  <m:t>z</m:t>
                </m:r>
              </m:e>
            </m:acc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</m:oMath>
      <w:r>
        <w:t xml:space="preserve">, the MSC voltage reference is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Sup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s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sSubSup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</m:acc>
                  </m:e>
                  <m:sub>
                    <m:r>
                      <m:t>s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t>R</m:t>
                    </m:r>
                  </m:e>
                  <m:sub>
                    <m:r>
                      <m:t>s</m:t>
                    </m:r>
                  </m:sub>
                </m:sSub>
                <m:sSubSup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s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>
                  <m:e>
                    <m:r>
                      <m:t>ω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cr m:val="script"/>
                    <m:sty m:val="p"/>
                  </m:rPr>
                  <m:t>J</m:t>
                </m:r>
                <m:sSubSup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s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t>ω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ψ</m:t>
                    </m:r>
                  </m:e>
                  <m:sub>
                    <m:r>
                      <m:t>f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t>q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a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z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(17)</w:t>
            </w:r>
          </w:p>
        </w:tc>
      </w:tr>
    </w:tbl>
    <w:p>
      <w:pPr>
        <w:pStyle w:val="BodyText"/>
        <w:ind w:firstLine="0"/>
      </w:pPr>
      <w:r>
        <w:t xml:space="preserve">and, with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i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sSubSup>
          <m:e>
            <m:r>
              <m:rPr>
                <m:sty m:val="b"/>
              </m:rPr>
              <m:t>i</m:t>
            </m:r>
          </m:e>
          <m:sub>
            <m:r>
              <m:t>g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rPr>
                    <m:sty m:val="b"/>
                  </m:rPr>
                  <m:t>z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e</m:t>
            </m:r>
          </m:e>
          <m:sub>
            <m:r>
              <m:t>g</m:t>
            </m:r>
          </m:sub>
        </m:sSub>
      </m:oMath>
      <w:r>
        <w:t xml:space="preserve">, the GSC voltage reference is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Sup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L</m:t>
                    </m:r>
                  </m:e>
                  <m:sub>
                    <m:r>
                      <m:t>f</m:t>
                    </m:r>
                  </m:sub>
                </m:sSub>
                <m:sSubSup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"/>
                          </m:rPr>
                          <m:t>i</m:t>
                        </m:r>
                      </m:e>
                    </m:acc>
                  </m:e>
                  <m:sub>
                    <m:r>
                      <m:t>g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t>R</m:t>
                    </m:r>
                  </m:e>
                  <m:sub>
                    <m:r>
                      <m:t>f</m:t>
                    </m:r>
                  </m:sub>
                </m:sSub>
                <m:sSubSup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g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>
                  <m:e>
                    <m:r>
                      <m:t>ω</m:t>
                    </m:r>
                  </m:e>
                  <m:sub>
                    <m:r>
                      <m:t>g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cr m:val="script"/>
                    <m:sty m:val="p"/>
                  </m:rPr>
                  <m:t>J</m:t>
                </m:r>
                <m:sSubSup>
                  <m:e>
                    <m:r>
                      <m:rPr>
                        <m:sty m:val="b"/>
                      </m:rPr>
                      <m:t>i</m:t>
                    </m:r>
                  </m:e>
                  <m:sub>
                    <m:r>
                      <m:t>g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b"/>
                      </m:rPr>
                      <m:t>v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R</m:t>
                    </m:r>
                  </m:e>
                  <m:sub>
                    <m:r>
                      <m:t>b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  <m:r>
                      <m:t>g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z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(18)</w:t>
            </w:r>
          </w:p>
        </w:tc>
      </w:tr>
    </w:tbl>
    <w:p>
      <w:pPr>
        <w:pStyle w:val="BodyText"/>
        <w:ind w:firstLine="0"/>
      </w:pPr>
      <w:r>
        <w:t xml:space="preserve">The first terms of (17)–(18) reproduce the desired dynamics with the workless</w:t>
      </w:r>
      <w:r>
        <w:t xml:space="preserve"> </w:t>
      </w:r>
      <w:r>
        <w:t xml:space="preserve">coupling terms,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inject damping, and the integral terms remove the steady-state errors.</w:t>
      </w:r>
      <w:r>
        <w:t xml:space="preserve"> </w:t>
      </w:r>
      <w:r>
        <w:t xml:space="preserve">The reference derivatives are obtained by first-order filters with a time constant of 2 ms, and the</w:t>
      </w:r>
      <w:r>
        <w:t xml:space="preserve"> </w:t>
      </w:r>
      <w:r>
        <w:t xml:space="preserve">integrals are frozen when the voltage reaches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c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.</w:t>
      </w:r>
    </w:p>
    <w:p>
      <w:pPr>
        <w:pStyle w:val="BodyText"/>
        <w:spacing w:before="80" w:after="60"/>
        <w:ind w:firstLine="0"/>
        <w:jc w:val="both"/>
      </w:pPr>
      <w:r>
        <w:rPr>
          <w:b/>
          <w:bCs/>
        </w:rPr>
        <w:t xml:space="preserve">Theorem 1.</w:t>
      </w:r>
      <w:r>
        <w:t xml:space="preserve"> </w:t>
      </w:r>
      <w:r>
        <w:rPr>
          <w:i/>
          <w:iCs/>
        </w:rPr>
        <w:t xml:space="preserve">Consider the PMSG model (6) with the control (17) and</w:t>
      </w:r>
      <w:r>
        <w:rPr>
          <w:i/>
          <w:iCs/>
        </w:rP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 The storage</w:t>
      </w:r>
      <w:r>
        <w:rPr>
          <w:i/>
          <w:iCs/>
        </w:rPr>
        <w:t xml:space="preserve"> </w:t>
      </w:r>
      <w:r>
        <w:rPr>
          <w:i/>
          <w:iCs/>
        </w:rPr>
        <w:t xml:space="preserve">function</w:t>
      </w:r>
      <w:r>
        <w:rPr>
          <w:i/>
          <w:iCs/>
        </w:rPr>
        <w:t xml:space="preserve"> 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L</m:t>
            </m:r>
          </m:e>
          <m:sub>
            <m:r>
              <m:t>s</m:t>
            </m:r>
          </m:sub>
        </m:sSub>
        <m:r>
          <m:rPr>
            <m:sty m:val="p"/>
          </m:rPr>
          <m:t>∥</m:t>
        </m:r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∥</m:t>
        </m:r>
        <m:sSub>
          <m:e>
            <m:r>
              <m:rPr>
                <m:sty m:val="b"/>
              </m:rPr>
              <m:t>z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satisfies</w:t>
      </w:r>
      <w:r>
        <w:rPr>
          <w:i/>
          <w:iCs/>
        </w:rPr>
        <w:t xml:space="preserve"> </w:t>
      </w:r>
      <m:oMath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∥</m:t>
        </m:r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r>
          <m:t>0</m:t>
        </m:r>
      </m:oMath>
      <w:r>
        <w:rPr>
          <w:i/>
          <w:iCs/>
        </w:rPr>
        <w:t xml:space="preserve">. The same result holds for the filter</w:t>
      </w:r>
      <w:r>
        <w:rPr>
          <w:i/>
          <w:iCs/>
        </w:rPr>
        <w:t xml:space="preserve"> </w:t>
      </w:r>
      <w:r>
        <w:rPr>
          <w:i/>
          <w:iCs/>
        </w:rPr>
        <w:t xml:space="preserve">(9) with the control (18).</w:t>
      </w:r>
    </w:p>
    <w:p>
      <w:pPr>
        <w:pStyle w:val="BodyText"/>
        <w:spacing w:before="80" w:after="60"/>
        <w:ind w:firstLine="0"/>
        <w:jc w:val="both"/>
      </w:pPr>
      <w:r>
        <w:rPr>
          <w:i/>
          <w:iCs/>
        </w:rPr>
        <w:t xml:space="preserve">Proof.</w:t>
      </w:r>
      <w:r>
        <w:t xml:space="preserve"> </w:t>
      </w:r>
      <w:r>
        <w:t xml:space="preserve">Subtracting</w:t>
      </w:r>
      <w:r>
        <w:t xml:space="preserve"> </w:t>
      </w:r>
      <m:oMath>
        <m:sSub>
          <m:e>
            <m:r>
              <m:t>L</m:t>
            </m:r>
          </m:e>
          <m:sub>
            <m:r>
              <m:t>s</m:t>
            </m:r>
          </m:sub>
        </m:sSub>
        <m:sSubSup>
          <m:e>
            <m:acc>
              <m:accPr>
                <m:chr m:val="̇"/>
              </m:accPr>
              <m:e>
                <m:r>
                  <m:rPr>
                    <m:sty m:val="b"/>
                  </m:rPr>
                  <m:t>i</m:t>
                </m:r>
              </m:e>
            </m:acc>
          </m:e>
          <m:sub>
            <m:r>
              <m:t>s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from (6) and inserting (17) gives the error</w:t>
      </w:r>
      <w:r>
        <w:t xml:space="preserve"> </w:t>
      </w:r>
      <w:r>
        <w:t xml:space="preserve">dynamics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sSub>
                  <m:e>
                    <m:acc>
                      <m:accPr>
                        <m:chr m:val="̇"/>
                      </m:accPr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</m:acc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sSub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ω</m:t>
                    </m:r>
                  </m:e>
                  <m:sub>
                    <m:r>
                      <m:t>e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cr m:val="script"/>
                    <m:sty m:val="p"/>
                  </m:rPr>
                  <m:t>J</m:t>
                </m:r>
                <m:sSub>
                  <m:e>
                    <m:r>
                      <m:rPr>
                        <m:sty m:val="b"/>
                      </m:rPr>
                      <m:t>e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rPr>
                        <m:sty m:val="b"/>
                      </m:rPr>
                      <m:t>z</m:t>
                    </m:r>
                  </m:e>
                  <m:sub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(19)</w:t>
            </w:r>
          </w:p>
        </w:tc>
      </w:tr>
    </w:tbl>
    <w:p>
      <w:pPr>
        <w:pStyle w:val="BodyText"/>
        <w:ind w:firstLine="0"/>
      </w:pPr>
      <w:r>
        <w:t xml:space="preserve">Hence</w:t>
      </w:r>
      <w:r>
        <w:t xml:space="preserve"> </w:t>
      </w:r>
      <m:oMath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=</m:t>
        </m:r>
        <m:sSubSup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  <m:sup>
            <m:r>
              <m:t>T</m:t>
            </m:r>
          </m:sup>
        </m:sSubSup>
        <m:sSub>
          <m:e>
            <m:r>
              <m:t>L</m:t>
            </m:r>
          </m:e>
          <m:sub>
            <m:r>
              <m:t>s</m:t>
            </m:r>
          </m:sub>
        </m:sSub>
        <m:sSub>
          <m:e>
            <m:acc>
              <m:accPr>
                <m:chr m:val="̇"/>
              </m:accPr>
              <m:e>
                <m:r>
                  <m:rPr>
                    <m:sty m:val="b"/>
                  </m:rPr>
                  <m:t>e</m:t>
                </m:r>
              </m:e>
            </m:acc>
          </m:e>
          <m:sub>
            <m:r>
              <m:t>s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i</m:t>
            </m:r>
          </m:sub>
        </m:sSub>
        <m:sSubSup>
          <m:e>
            <m:r>
              <m:rPr>
                <m:sty m:val="b"/>
              </m:rPr>
              <m:t>z</m:t>
            </m:r>
          </m:e>
          <m:sub>
            <m:r>
              <m:t>s</m:t>
            </m:r>
          </m:sub>
          <m:sup>
            <m:r>
              <m:t>T</m:t>
            </m:r>
          </m:sup>
        </m:sSubSup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∥</m:t>
        </m:r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, since</w:t>
      </w:r>
      <w:r>
        <w:t xml:space="preserve"> </w:t>
      </w:r>
      <m:oMath>
        <m:sSubSup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  <m:sup>
            <m:r>
              <m:t>T</m:t>
            </m:r>
          </m:sup>
        </m:sSubSup>
        <m:r>
          <m:rPr>
            <m:scr m:val="script"/>
            <m:sty m:val="p"/>
          </m:rPr>
          <m:t>J</m:t>
        </m:r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therefore non-increasing and bounded,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"/>
              </m:rPr>
              <m:t>z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bounded, and</w:t>
      </w:r>
      <w:r>
        <w:t xml:space="preserve"> </w:t>
      </w:r>
      <m:oMath>
        <m:acc>
          <m:accPr>
            <m:chr m:val="̇"/>
          </m:accPr>
          <m:e>
            <m:r>
              <m:t>H</m:t>
            </m:r>
          </m:e>
        </m:acc>
      </m:oMath>
      <w:r>
        <w:t xml:space="preserve"> </w:t>
      </w:r>
      <w:r>
        <w:t xml:space="preserve">is uniformly continuous. Barbalat’s lemma [29] gives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. The proof for (9) and (18) is identical, with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g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gains place double closed-loop poles:</w:t>
      </w:r>
      <w:r>
        <w:t xml:space="preserve"> </w:t>
      </w:r>
      <m:oMath>
        <m:sSub>
          <m:e>
            <m:r>
              <m:t>k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ω</m:t>
            </m:r>
          </m:e>
          <m:sub>
            <m:r>
              <m:t>Ω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Sup>
          <m:e>
            <m:r>
              <m:t>ω</m:t>
            </m:r>
          </m:e>
          <m:sub>
            <m:r>
              <m:t>Ω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ω</m:t>
            </m:r>
          </m:e>
          <m:sub>
            <m:r>
              <m:t>v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sSubSup>
          <m:e>
            <m:r>
              <m:t>ω</m:t>
            </m:r>
          </m:e>
          <m:sub>
            <m:r>
              <m:t>v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ω</m:t>
            </m:r>
          </m:e>
          <m:sub>
            <m:r>
              <m:t>i</m:t>
            </m:r>
          </m:sub>
        </m:sSub>
        <m:sSub>
          <m:e>
            <m:r>
              <m:t>L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ω</m:t>
            </m:r>
          </m:e>
          <m:sub>
            <m:r>
              <m:t>i</m:t>
            </m:r>
          </m:sub>
          <m:sup>
            <m:r>
              <m:t>2</m:t>
            </m:r>
          </m:sup>
        </m:sSubSup>
        <m:sSub>
          <m:e>
            <m:r>
              <m:t>L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ω</m:t>
            </m:r>
          </m:e>
          <m:sub>
            <m:r>
              <m:t>i</m:t>
            </m:r>
          </m:sub>
        </m:sSub>
        <m:sSub>
          <m:e>
            <m:r>
              <m:t>L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g</m:t>
            </m:r>
          </m:sub>
        </m:sSub>
        <m:r>
          <m:rPr>
            <m:sty m:val="p"/>
          </m:rPr>
          <m:t>=</m:t>
        </m:r>
        <m:sSubSup>
          <m:e>
            <m:r>
              <m:t>ω</m:t>
            </m:r>
          </m:e>
          <m:sub>
            <m:r>
              <m:t>i</m:t>
            </m:r>
          </m:sub>
          <m:sup>
            <m:r>
              <m:t>2</m:t>
            </m:r>
          </m:sup>
        </m:sSubSup>
        <m:sSub>
          <m:e>
            <m:r>
              <m:t>L</m:t>
            </m:r>
          </m:e>
          <m:sub>
            <m:r>
              <m:t>f</m:t>
            </m:r>
          </m:sub>
        </m:sSub>
      </m:oMath>
      <w:r>
        <w:t xml:space="preserve">. The bandwidths are separated by more than one decade</w:t>
      </w:r>
      <w:r>
        <w:t xml:space="preserve"> </w:t>
      </w:r>
      <w:r>
        <w:t xml:space="preserve">(</w:t>
      </w:r>
      <m:oMath>
        <m:sSub>
          <m:e>
            <m:r>
              <m:t>ω</m:t>
            </m:r>
          </m:e>
          <m:sub>
            <m:r>
              <m:t>Ω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ω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500</m:t>
        </m:r>
      </m:oMath>
      <w:r>
        <w:t xml:space="preserve"> rad/s), so the inner loops can be considered fast</w:t>
      </w:r>
      <w:r>
        <w:t xml:space="preserve"> </w:t>
      </w:r>
      <w:r>
        <w:t xml:space="preserve">with respect to the outer ones (Table 2).</w:t>
      </w:r>
    </w:p>
    <w:bookmarkEnd w:id="31"/>
    <w:bookmarkEnd w:id="32"/>
    <w:bookmarkStart w:id="37" w:name="adaptive-rbf-neural-compensation"/>
    <w:p>
      <w:pPr>
        <w:pStyle w:val="Heading1"/>
      </w:pPr>
      <w:r>
        <w:t xml:space="preserve">4. Adaptive RBF Neural Compensation</w:t>
      </w:r>
    </w:p>
    <w:p>
      <w:pPr>
        <w:pStyle w:val="FirstParagraph"/>
      </w:pPr>
      <w:r>
        <w:t xml:space="preserve">Although the nominal controller makes the current errors converge, a residual speed error remains</w:t>
      </w:r>
      <w:r>
        <w:t xml:space="preserve"> </w:t>
      </w:r>
      <w:r>
        <w:t xml:space="preserve">because of the uncertainty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w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T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in (14). This uncertainty comes from the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model, from the anemometer, which measures the wind at one point and with a delay, and from the</w:t>
      </w:r>
      <w:r>
        <w:t xml:space="preserve"> </w:t>
      </w:r>
      <w:r>
        <w:t xml:space="preserve">generator parameters. Therefore, an RBF network is introduced as a complementary compensation</w:t>
      </w:r>
      <w:r>
        <w:t xml:space="preserve"> </w:t>
      </w:r>
      <w:r>
        <w:t xml:space="preserve">mechanism. The network does not replace the nominal controller; it generates the additional term</w:t>
      </w:r>
      <w: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</m:oMath>
      <w:r>
        <w:t xml:space="preserve"> </w:t>
      </w:r>
      <w:r>
        <w:t xml:space="preserve">in the torque reference (13), and the gains</w:t>
      </w:r>
      <w:r>
        <w:t xml:space="preserve"> </w:t>
      </w:r>
      <m:oMath>
        <m:sSub>
          <m:e>
            <m:r>
              <m:t>k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r>
        <w:t xml:space="preserve">those of the current loops are kept unchanged.</w:t>
      </w:r>
    </w:p>
    <w:bookmarkStart w:id="33" w:name="ann-input-vector"/>
    <w:p>
      <w:pPr>
        <w:pStyle w:val="Heading2"/>
      </w:pPr>
      <w:r>
        <w:t xml:space="preserve">4.1. ANN Input Vector</w:t>
      </w:r>
    </w:p>
    <w:p>
      <w:pPr>
        <w:pStyle w:val="FirstParagraph"/>
      </w:pPr>
      <w:r>
        <w:t xml:space="preserve">The uncertainty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depends mainly on the operating point of the turbine, i.e., on the rotor speed</w:t>
      </w:r>
      <w:r>
        <w:t xml:space="preserve"> </w:t>
      </w:r>
      <w:r>
        <w:t xml:space="preserve">and on the wind speed. The input vector of the network is therefore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z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Ω</m:t>
                            </m:r>
                          </m:num>
                          <m:den>
                            <m:sSub>
                              <m:e>
                                <m:r>
                                  <m:t>Ω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den>
                        </m:f>
                        <m:r>
                          <m:t> </m:t>
                        </m:r>
                        <m:r>
                          <m:t> 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m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(20)</w:t>
            </w:r>
          </w:p>
        </w:tc>
      </w:tr>
    </w:tbl>
    <w:p>
      <w:pPr>
        <w:pStyle w:val="BodyText"/>
        <w:ind w:firstLine="0"/>
      </w:pPr>
      <w:r>
        <w:t xml:space="preserve">where the normalization by the rated values gives inputs of the order of one over the whole operating</w:t>
      </w:r>
      <w:r>
        <w:t xml:space="preserve"> </w:t>
      </w:r>
      <w:r>
        <w:t xml:space="preserve">region.</w:t>
      </w:r>
    </w:p>
    <w:bookmarkEnd w:id="33"/>
    <w:bookmarkStart w:id="34" w:name="rbf-structure-and-compensation-signal"/>
    <w:p>
      <w:pPr>
        <w:pStyle w:val="Heading2"/>
      </w:pPr>
      <w:r>
        <w:t xml:space="preserve">4.2. RBF Structure and Compensation Signal</w:t>
      </w:r>
    </w:p>
    <w:p>
      <w:pPr>
        <w:pStyle w:val="FirstParagraph"/>
      </w:pPr>
      <w:r>
        <w:t xml:space="preserve">On the operating region, the uncertainty is approximated by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Δ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"/>
                      </m:rPr>
                      <m:t>W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  <m:r>
                      <m:t>T</m:t>
                    </m:r>
                  </m:sup>
                </m:sSup>
                <m:r>
                  <m:rPr>
                    <m:sty m:val="b"/>
                  </m:rPr>
                  <m:t>ϕ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z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ε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ε</m:t>
                    </m:r>
                  </m:e>
                </m:d>
                <m:r>
                  <m:rPr>
                    <m:sty m:val="p"/>
                  </m:rPr>
                  <m:t>≤</m:t>
                </m:r>
                <m:acc>
                  <m:accPr>
                    <m:chr m:val="‾"/>
                  </m:accPr>
                  <m:e>
                    <m:r>
                      <m:t>ε</m:t>
                    </m:r>
                  </m:e>
                </m:acc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(21)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an ideal weight vector 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the approximation error [22]. The</w:t>
      </w:r>
      <w:r>
        <w:t xml:space="preserve"> </w:t>
      </w:r>
      <w:r>
        <w:t xml:space="preserve">network has 25 Gaussian functions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ϕ</m:t>
                    </m:r>
                  </m:e>
                  <m:sub>
                    <m:r>
                      <m:t>j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∥</m:t>
                        </m:r>
                        <m:r>
                          <m:rPr>
                            <m:sty m:val="b"/>
                          </m:rP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c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∥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(22)</w:t>
            </w:r>
          </w:p>
        </w:tc>
      </w:tr>
    </w:tbl>
    <w:p>
      <w:pPr>
        <w:pStyle w:val="BodyText"/>
        <w:ind w:firstLine="0"/>
      </w:pPr>
      <w:r>
        <w:t xml:space="preserve">centred on a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grid of</w:t>
      </w:r>
      <w:r>
        <w:t xml:space="preserve"> </w:t>
      </w:r>
      <m:oMath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1.1</m:t>
                </m:r>
              </m:e>
            </m:d>
          </m:e>
          <m:sup>
            <m:r>
              <m:t>2</m:t>
            </m:r>
          </m:sup>
        </m:sSup>
      </m:oMath>
      <w:r>
        <w:t xml:space="preserve">, with the width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0.15</m:t>
        </m:r>
      </m:oMath>
      <w:r>
        <w:t xml:space="preserve">. The compensation signal is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Δ</m:t>
                    </m:r>
                  </m:e>
                </m:acc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acc>
                  </m:e>
                  <m:sup>
                    <m:r>
                      <m:t>T</m:t>
                    </m:r>
                  </m:sup>
                </m:sSup>
                <m:r>
                  <m:rPr>
                    <m:sty m:val="b"/>
                  </m:rPr>
                  <m:t>ϕ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(23)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W</m:t>
            </m:r>
          </m:e>
        </m:acc>
      </m:oMath>
      <w:r>
        <w:t xml:space="preserve"> </w:t>
      </w:r>
      <w:r>
        <w:t xml:space="preserve">is the vector of the estimated weights. When the network is used, it replaces the</w:t>
      </w:r>
      <w:r>
        <w:t xml:space="preserve"> </w:t>
      </w:r>
      <w:r>
        <w:t xml:space="preserve">integral action of the speed loop (</w:t>
      </w:r>
      <m:oMath>
        <m:sSub>
          <m:e>
            <m:r>
              <m:t>k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 otherwise, the integral would absorb the slowly varying</w:t>
      </w:r>
      <w:r>
        <w:t xml:space="preserve"> </w:t>
      </w:r>
      <w:r>
        <w:t xml:space="preserve">part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 the network would not learn it.</w:t>
      </w:r>
    </w:p>
    <w:bookmarkEnd w:id="34"/>
    <w:bookmarkStart w:id="35" w:name="online-adaptive-law"/>
    <w:p>
      <w:pPr>
        <w:pStyle w:val="Heading2"/>
      </w:pPr>
      <w:r>
        <w:t xml:space="preserve">4.3. Online Adaptive Law</w:t>
      </w:r>
    </w:p>
    <w:p>
      <w:pPr>
        <w:pStyle w:val="FirstParagraph"/>
      </w:pPr>
      <w:r>
        <w:t xml:space="preserve">The weights are not trained offline; they are adapted online by the Lyapunov-based law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̇"/>
                  </m:acc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acc>
                  </m:e>
                </m:acc>
                <m:r>
                  <m:rPr>
                    <m:sty m:val="p"/>
                  </m:rPr>
                  <m:t>=</m:t>
                </m:r>
                <m:r>
                  <m:t>Γ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ϕ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b"/>
                          </m:rPr>
                          <m:t>z</m:t>
                        </m:r>
                      </m:e>
                    </m:d>
                    <m:r>
                      <m:t> 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Ω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σ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acc>
                  <m:accPr>
                    <m:chr m:val="̂"/>
                  </m:accPr>
                  <m:e>
                    <m:r>
                      <m:rPr>
                        <m:sty m:val="b"/>
                      </m:rPr>
                      <m:t>W</m:t>
                    </m:r>
                  </m:e>
                </m:acc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(24)</w:t>
            </w:r>
          </w:p>
        </w:tc>
      </w:tr>
    </w:tbl>
    <w:p>
      <w:pPr>
        <w:pStyle w:val="BodyText"/>
        <w:ind w:firstLine="0"/>
      </w:pPr>
      <w:r>
        <w:t xml:space="preserve">where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adaptation gain 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-modification [30],</w:t>
      </w:r>
      <w:r>
        <w:t xml:space="preserve"> </w:t>
      </w:r>
      <w:r>
        <w:t xml:space="preserve">which limits the drift of the weights in the presence of noise and approximation error. The adaptation</w:t>
      </w:r>
      <w:r>
        <w:t xml:space="preserve"> </w:t>
      </w:r>
      <w:r>
        <w:t xml:space="preserve">is frozen when</w:t>
      </w:r>
      <w:r>
        <w:t xml:space="preserve"> </w:t>
      </w:r>
      <m:oMath>
        <m:sSubSup>
          <m:e>
            <m:r>
              <m:t>T</m:t>
            </m:r>
          </m:e>
          <m:sub>
            <m:r>
              <m:t>e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reaches its limit, so that the network does not learn the effect of the</w:t>
      </w:r>
      <w:r>
        <w:t xml:space="preserve"> </w:t>
      </w:r>
      <w:r>
        <w:t xml:space="preserve">saturation.</w:t>
      </w:r>
    </w:p>
    <w:bookmarkEnd w:id="35"/>
    <w:bookmarkStart w:id="36" w:name="bounded-adaptive-compensation"/>
    <w:p>
      <w:pPr>
        <w:pStyle w:val="Heading2"/>
      </w:pPr>
      <w:r>
        <w:t xml:space="preserve">4.4. Bounded Adaptive Compensation</w:t>
      </w:r>
    </w:p>
    <w:p>
      <w:pPr>
        <w:pStyle w:val="FirstParagraph"/>
        <w:spacing w:before="80" w:after="60"/>
        <w:ind w:firstLine="0"/>
        <w:jc w:val="both"/>
      </w:pPr>
      <w:r>
        <w:rPr>
          <w:b/>
          <w:bCs/>
        </w:rPr>
        <w:t xml:space="preserve">Theorem 2.</w:t>
      </w:r>
      <w:r>
        <w:t xml:space="preserve"> </w:t>
      </w:r>
      <w:r>
        <w:rPr>
          <w:i/>
          <w:iCs/>
        </w:rPr>
        <w:t xml:space="preserve">Consider the speed error dynamics (14) with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the approximation (21),</w:t>
      </w:r>
      <w:r>
        <w:rPr>
          <w:i/>
          <w:iCs/>
        </w:rPr>
        <w:t xml:space="preserve"> </w:t>
      </w:r>
      <w:r>
        <w:rPr>
          <w:i/>
          <w:iCs/>
        </w:rPr>
        <w:t xml:space="preserve">the compensation (23) and the adaptive law (24) with</w:t>
      </w:r>
      <w:r>
        <w:rPr>
          <w:i/>
          <w:iCs/>
        </w:rPr>
        <w:t xml:space="preserve"> </w:t>
      </w:r>
      <m:oMath>
        <m:r>
          <m:t>Γ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, exact</w:t>
      </w:r>
      <w:r>
        <w:rPr>
          <w:i/>
          <w:iCs/>
        </w:rPr>
        <w:t xml:space="preserve"> </w:t>
      </w:r>
      <m:oMath>
        <m:r>
          <m:t>J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B</m:t>
        </m:r>
      </m:oMath>
      <w:r>
        <w:rPr>
          <w:i/>
          <w:iCs/>
        </w:rPr>
        <w:t xml:space="preserve">, and no saturation. Then the speed error</w:t>
      </w:r>
      <w:r>
        <w:rPr>
          <w:i/>
          <w:iCs/>
        </w:rPr>
        <w:t xml:space="preserve"> </w:t>
      </w:r>
      <m:oMath>
        <m:sSub>
          <m:e>
            <m:r>
              <m:t>e</m:t>
            </m:r>
          </m:e>
          <m:sub>
            <m:r>
              <m:t>Ω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 the weight error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b"/>
              </m:rPr>
              <m:t>W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are uniformly ultimately bounded.</w:t>
      </w:r>
    </w:p>
    <w:p>
      <w:pPr>
        <w:pStyle w:val="BodyText"/>
        <w:spacing w:before="80" w:after="60"/>
        <w:ind w:firstLine="0"/>
        <w:jc w:val="both"/>
      </w:pPr>
      <w:r>
        <w:rPr>
          <w:i/>
          <w:iCs/>
        </w:rPr>
        <w:t xml:space="preserve">Proof.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(14) becomes</w:t>
      </w:r>
      <w:r>
        <w:t xml:space="preserve"> </w:t>
      </w:r>
      <m:oMath>
        <m:r>
          <m:t>J</m:t>
        </m:r>
        <m:sSub>
          <m:e>
            <m:acc>
              <m:accPr>
                <m:chr m:val="̇"/>
              </m:accPr>
              <m:e>
                <m:r>
                  <m:t>e</m:t>
                </m:r>
              </m:e>
            </m:acc>
          </m:e>
          <m:sub>
            <m:r>
              <m:t>Ω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J</m:t>
        </m:r>
        <m:sSub>
          <m:e>
            <m:r>
              <m:t>k</m:t>
            </m:r>
          </m:e>
          <m:sub>
            <m:r>
              <m:t>11</m:t>
            </m:r>
          </m:sub>
        </m:sSub>
        <m:sSub>
          <m:e>
            <m:r>
              <m:t>e</m:t>
            </m:r>
          </m:e>
          <m:sub>
            <m:r>
              <m:t>Ω</m:t>
            </m:r>
          </m:sub>
        </m:sSub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W</m:t>
                </m:r>
              </m:e>
            </m:acc>
          </m:e>
          <m:sup>
            <m:r>
              <m:t>T</m:t>
            </m:r>
          </m:sup>
        </m:sSup>
        <m:r>
          <m:rPr>
            <m:sty m:val="b"/>
          </m:rPr>
          <m:t>ϕ</m:t>
        </m:r>
        <m:r>
          <m:rPr>
            <m:sty m:val="p"/>
          </m:rPr>
          <m:t>+</m:t>
        </m:r>
        <m:r>
          <m:t>ε</m:t>
        </m:r>
      </m:oMath>
      <w:r>
        <w:t xml:space="preserve">. Consider the Lyapunov</w:t>
      </w:r>
      <w:r>
        <w:t xml:space="preserve"> </w:t>
      </w:r>
      <w:r>
        <w:t xml:space="preserve">function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V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J</m:t>
                </m:r>
                <m:sSubSup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t>Γ</m:t>
                    </m:r>
                  </m:den>
                </m:f>
                <m:r>
                  <m:rPr>
                    <m:sty m:val="p"/>
                  </m:rPr>
                  <m:t>∥</m:t>
                </m:r>
                <m:acc>
                  <m:accPr>
                    <m:chr m:val="̃"/>
                  </m:accPr>
                  <m:e>
                    <m:r>
                      <m:rPr>
                        <m:sty m:val="b"/>
                      </m:rPr>
                      <m:t>W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(25)</w:t>
            </w:r>
          </w:p>
        </w:tc>
      </w:tr>
    </w:tbl>
    <w:p>
      <w:pPr>
        <w:pStyle w:val="BodyText"/>
        <w:ind w:firstLine="0"/>
      </w:pPr>
      <w:r>
        <w:t xml:space="preserve">Since</w:t>
      </w:r>
      <w:r>
        <w:t xml:space="preserve"> </w:t>
      </w:r>
      <m:oMath>
        <m:acc>
          <m:accPr>
            <m:chr m:val="̇"/>
          </m:accPr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W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̇"/>
          </m:accPr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W</m:t>
                </m:r>
              </m:e>
            </m:acc>
          </m:e>
        </m:acc>
      </m:oMath>
      <w:r>
        <w:t xml:space="preserve">,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̇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J</m:t>
                </m:r>
                <m:sSub>
                  <m:e>
                    <m:r>
                      <m:t>k</m:t>
                    </m:r>
                  </m:e>
                  <m:sub>
                    <m:r>
                      <m:t>11</m:t>
                    </m:r>
                  </m:sub>
                </m:sSub>
                <m:sSubSup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rPr>
                                <m:sty m:val="b"/>
                              </m:rPr>
                              <m:t>W</m:t>
                            </m:r>
                          </m:e>
                        </m:acc>
                      </m:e>
                      <m:sup>
                        <m:r>
                          <m:t>T</m:t>
                        </m:r>
                      </m:sup>
                    </m:sSup>
                    <m:r>
                      <m:rPr>
                        <m:sty m:val="b"/>
                      </m:rPr>
                      <m:t>ϕ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Γ</m:t>
                    </m:r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acc>
                  </m:e>
                  <m:sup>
                    <m:r>
                      <m:t>T</m:t>
                    </m:r>
                  </m:sup>
                </m:sSup>
                <m:acc>
                  <m:accPr>
                    <m:chr m:val="̇"/>
                  </m:acc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acc>
                  </m:e>
                </m:acc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J</m:t>
                </m:r>
                <m:sSub>
                  <m:e>
                    <m:r>
                      <m:t>k</m:t>
                    </m:r>
                  </m:e>
                  <m:sub>
                    <m:r>
                      <m:t>11</m:t>
                    </m:r>
                  </m:sub>
                </m:sSub>
                <m:sSubSup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</m:sSub>
                <m:r>
                  <m:t>ε</m:t>
                </m:r>
                <m:r>
                  <m:rPr>
                    <m:sty m:val="p"/>
                  </m:rPr>
                  <m:t>+</m:t>
                </m:r>
                <m:r>
                  <m:t>σ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rPr>
                            <m:sty m:val="b"/>
                          </m:rPr>
                          <m:t>W</m:t>
                        </m:r>
                      </m:e>
                    </m:acc>
                  </m:e>
                  <m:sup>
                    <m:r>
                      <m:t>T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rPr>
                        <m:sty m:val="b"/>
                      </m:rPr>
                      <m:t>W</m:t>
                    </m:r>
                  </m:e>
                </m:acc>
                <m:r>
                  <m:rPr>
                    <m:sty m:val="p"/>
                  </m:rPr>
                  <m:t>.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(26)</w:t>
            </w:r>
          </w:p>
        </w:tc>
      </w:tr>
    </w:tbl>
    <w:p>
      <w:pPr>
        <w:pStyle w:val="BodyText"/>
        <w:ind w:firstLine="0"/>
      </w:pPr>
      <w:r>
        <w:t xml:space="preserve">Using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rPr>
                    <m:sty m:val="b"/>
                  </m:rPr>
                  <m:t>W</m:t>
                </m:r>
              </m:e>
            </m:acc>
          </m:e>
          <m:sup>
            <m:r>
              <m:t>T</m:t>
            </m:r>
          </m:sup>
        </m:sSup>
        <m:acc>
          <m:accPr>
            <m:chr m:val="̂"/>
          </m:accPr>
          <m:e>
            <m:r>
              <m:rPr>
                <m:sty m:val="b"/>
              </m:rPr>
              <m:t>W</m:t>
            </m:r>
          </m:e>
        </m:acc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sSup>
          <m:e>
            <m:r>
              <m:rPr>
                <m:sty m:val="b"/>
              </m:rPr>
              <m:t>W</m:t>
            </m:r>
          </m:e>
          <m:sup>
            <m:r>
              <m:rPr>
                <m:sty m:val="p"/>
              </m:rPr>
              <m:t>*</m:t>
            </m:r>
          </m:sup>
        </m:sSup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Ω</m:t>
            </m:r>
          </m:sub>
        </m:sSub>
        <m:r>
          <m:t>ε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J</m:t>
            </m:r>
            <m:sSub>
              <m:e>
                <m:r>
                  <m:t>k</m:t>
                </m:r>
              </m:e>
              <m:sub>
                <m:r>
                  <m:t>11</m:t>
                </m:r>
              </m:sub>
            </m:sSub>
          </m:num>
          <m:den>
            <m:r>
              <m:t>2</m:t>
            </m:r>
          </m:den>
        </m:f>
        <m:sSubSup>
          <m:e>
            <m:r>
              <m:t>e</m:t>
            </m:r>
          </m:e>
          <m:sub>
            <m:r>
              <m:t>Ω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acc>
                  <m:accPr>
                    <m:chr m:val="‾"/>
                  </m:accPr>
                  <m:e>
                    <m:r>
                      <m:t>ε</m:t>
                    </m:r>
                  </m:e>
                </m:acc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J</m:t>
            </m:r>
            <m:sSub>
              <m:e>
                <m:r>
                  <m:t>k</m:t>
                </m:r>
              </m:e>
              <m:sub>
                <m:r>
                  <m:t>11</m:t>
                </m:r>
              </m:sub>
            </m:sSub>
          </m:den>
        </m:f>
      </m:oMath>
      <w:r>
        <w:t xml:space="preserve"> </w:t>
      </w:r>
      <w:r>
        <w:t xml:space="preserve">gives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̇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J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sSubSup>
                  <m:e>
                    <m:r>
                      <m:t>e</m:t>
                    </m:r>
                  </m:e>
                  <m:sub>
                    <m:r>
                      <m:t>Ω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σ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∥</m:t>
                </m:r>
                <m:acc>
                  <m:accPr>
                    <m:chr m:val="̃"/>
                  </m:accPr>
                  <m:e>
                    <m:r>
                      <m:rPr>
                        <m:sty m:val="b"/>
                      </m:rPr>
                      <m:t>W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ε</m:t>
                            </m:r>
                          </m:e>
                        </m:acc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  <m:r>
                      <m:t>J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σ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∥</m:t>
                </m:r>
                <m:sSup>
                  <m:e>
                    <m:r>
                      <m:rPr>
                        <m:sty m:val="b"/>
                      </m:rPr>
                      <m:t>W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(27)</w:t>
            </w:r>
          </w:p>
        </w:tc>
      </w:tr>
    </w:tbl>
    <w:p>
      <w:pPr>
        <w:pStyle w:val="BodyText"/>
        <w:ind w:firstLine="0"/>
      </w:pPr>
      <w:r>
        <w:t xml:space="preserve">which is negative outside a compact set. Hence</w:t>
      </w:r>
      <w:r>
        <w:t xml:space="preserve"> </w:t>
      </w:r>
      <m:oMath>
        <m:sSub>
          <m:e>
            <m:r>
              <m:t>e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rPr>
                <m:sty m:val="b"/>
              </m:rPr>
              <m:t>W</m:t>
            </m:r>
          </m:e>
        </m:acc>
      </m:oMath>
      <w:r>
        <w:t xml:space="preserve"> </w:t>
      </w:r>
      <w:r>
        <w:t xml:space="preserve">are uniformly ultimately</w:t>
      </w:r>
      <w:r>
        <w:t xml:space="preserve"> </w:t>
      </w:r>
      <w:r>
        <w:t xml:space="preserve">bounded [29].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  <w:spacing w:before="80" w:after="60"/>
        <w:ind w:firstLine="0"/>
        <w:jc w:val="both"/>
      </w:pPr>
      <w:r>
        <w:rPr>
          <w:b/>
          <w:bCs/>
        </w:rPr>
        <w:t xml:space="preserve">Remark 1.</w:t>
      </w:r>
      <w:r>
        <w:t xml:space="preserve"> </w:t>
      </w:r>
      <w:r>
        <w:rPr>
          <w:i/>
          <w:iCs/>
        </w:rPr>
        <w:t xml:space="preserve">The size of the residual set decreases when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11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increases and when</w:t>
      </w:r>
      <w:r>
        <w:rPr>
          <w:i/>
          <w:iCs/>
        </w:rPr>
        <w:t xml:space="preserve"> </w:t>
      </w:r>
      <m:oMath>
        <m:r>
          <m:t>σ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acc>
          <m:accPr>
            <m:chr m:val="‾"/>
          </m:accPr>
          <m:e>
            <m:r>
              <m:t>ε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decrease. Increasing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11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would, however, amplify the measurement noise by</w:t>
      </w:r>
      <w:r>
        <w:rPr>
          <w:i/>
          <w:iCs/>
        </w:rPr>
        <w:t xml:space="preserve"> </w:t>
      </w:r>
      <m:oMath>
        <m:r>
          <m:t>J</m:t>
        </m:r>
        <m:sSub>
          <m:e>
            <m:r>
              <m:t>k</m:t>
            </m:r>
          </m:e>
          <m:sub>
            <m:r>
              <m:t>11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(13); the network reduces the speed error without changing this gain.</w:t>
      </w:r>
    </w:p>
    <w:p>
      <w:pPr>
        <w:pStyle w:val="BodyText"/>
        <w:keepNext/>
        <w:spacing w:before="200" w:after="80"/>
        <w:ind w:firstLine="0"/>
        <w:jc w:val="center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Table 2.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Controller, adaptive network and measurement parameters used in the simulations.</w:t>
      </w:r>
    </w:p>
    <w:tbl>
      <w:tblPr>
        <w:tblStyle w:val="Table"/>
        <w:tblW w:type="dxa" w:w="884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2041"/>
        <w:gridCol w:w="6804"/>
      </w:tblGrid>
      <w:tr>
        <w:trPr>
          <w:tblHeader w:val="true"/>
          <w:cantSplit/>
        </w:trPr>
        <w:tc>
          <w:tcPr>
            <w:tcW w:type="dxa" w:w="2041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Parameter</w:t>
            </w:r>
          </w:p>
        </w:tc>
        <w:tc>
          <w:tcPr>
            <w:tcW w:type="dxa" w:w="6803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Speed loop (flat)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rad/s: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(0 with the network);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rad/s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DC-link loop (flat)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rad/s: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3600</m:t>
              </m:r>
            </m:oMath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PBC, MSC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500</m:t>
              </m:r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rad/s: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1.57</m:t>
              </m:r>
              <m:r>
                <m:t> </m:t>
              </m:r>
              <m:r>
                <m:t>Ω</m:t>
              </m:r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393</m:t>
              </m:r>
              <m:r>
                <m:t> </m:t>
              </m:r>
              <m:r>
                <m:t>Ω</m:t>
              </m:r>
            </m:oMath>
            <w:r>
              <w:rPr>
                <w:rFonts w:ascii="Times New Roman" w:hAnsi="Times New Roman"/>
                <w:sz w:val="20"/>
              </w:rPr>
              <w:t xml:space="preserve">/s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PBC, GSC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500</m:t>
              </m:r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rad/s: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0.148</m:t>
              </m:r>
              <m:r>
                <m:t> </m:t>
              </m:r>
              <m:r>
                <m:t>Ω</m:t>
              </m:r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i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t>37.5</m:t>
              </m:r>
              <m:r>
                <m:t> </m:t>
              </m:r>
              <m:r>
                <m:t>Ω</m:t>
              </m:r>
            </m:oMath>
            <w:r>
              <w:rPr>
                <w:rFonts w:ascii="Times New Roman" w:hAnsi="Times New Roman"/>
                <w:sz w:val="20"/>
              </w:rPr>
              <w:t xml:space="preserve">/s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RBF network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25 Gaussian units,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0.15</m:t>
              </m:r>
            </m:oMath>
            <w:r>
              <w:rPr>
                <w:rFonts w:ascii="Times New Roman" w:hAnsi="Times New Roman"/>
                <w:sz w:val="20"/>
              </w:rPr>
              <w:t xml:space="preserve">, inputs (20)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Adaptation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r>
                <m:t>Γ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7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0.02</m:t>
              </m:r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s</w:t>
            </w:r>
            <w:r>
              <w:rPr>
                <w:rFonts w:ascii="Times New Roman" w:hAnsi="Times New Roman"/>
                <w:sz w:val="20"/>
                <w:vertAlign w:val="superscript"/>
              </w:rPr>
              <w:t xml:space="preserve">-1</w:t>
            </w:r>
            <w:r>
              <w:rPr>
                <w:rFonts w:ascii="Times New Roman" w:hAnsi="Times New Roman"/>
                <w:sz w:val="20"/>
              </w:rPr>
              <w:t xml:space="preserve">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b"/>
                    </m:rPr>
                    <m:t>W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Sampling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231.5</m:t>
              </m:r>
              <m:r>
                <m:t> </m:t>
              </m:r>
              <m:r>
                <m:t>μ</m:t>
              </m:r>
            </m:oMath>
            <w:r>
              <w:rPr>
                <w:rFonts w:ascii="Times New Roman" w:hAnsi="Times New Roman"/>
                <w:sz w:val="20"/>
              </w:rPr>
              <w:t xml:space="preserve">s, one-sample computation delay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Sensor noise (std)</w:t>
            </w:r>
          </w:p>
        </w:tc>
        <w:tc>
          <w:tcPr>
            <w:tcW w:type="dxa" w:w="6803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currents 5 A, DC voltage 1 V, grid voltage 1 V, encoder speed 2 mrad/s</w:t>
            </w:r>
          </w:p>
        </w:tc>
      </w:tr>
      <w:tr>
        <w:trPr>
          <w:cantSplit/>
        </w:trPr>
        <w:tc>
          <w:tcPr>
            <w:tcW w:type="dxa" w:w="2041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Measurement filters</w:t>
            </w:r>
          </w:p>
        </w:tc>
        <w:tc>
          <w:tcPr>
            <w:tcW w:type="dxa" w:w="6803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speed 5 ms,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d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in (16) 2 ms, anemometer 1 s</w:t>
            </w:r>
          </w:p>
        </w:tc>
      </w:tr>
    </w:tbl>
    <w:bookmarkEnd w:id="36"/>
    <w:bookmarkEnd w:id="37"/>
    <w:bookmarkStart w:id="42" w:name="numerical-simulations"/>
    <w:p>
      <w:pPr>
        <w:pStyle w:val="Heading1"/>
      </w:pPr>
      <w:r>
        <w:t xml:space="preserve">5. Numerical Simulations</w:t>
      </w:r>
    </w:p>
    <w:p>
      <w:pPr>
        <w:pStyle w:val="FirstParagraph"/>
      </w:pPr>
      <w:r>
        <w:t xml:space="preserve">This section presents the numerical results obtained with the proposed control. Two configurations are</w:t>
      </w:r>
      <w:r>
        <w:t xml:space="preserve"> </w:t>
      </w:r>
      <w:r>
        <w:t xml:space="preserve">compared in order to assess the contribution of the adaptive network: the nominal flatness-based and</w:t>
      </w:r>
      <w:r>
        <w:t xml:space="preserve"> </w:t>
      </w:r>
      <w:r>
        <w:t xml:space="preserve">passivity-based controller (</w:t>
      </w:r>
      <m:oMath>
        <m:acc>
          <m:accPr>
            <m:chr m:val="̂"/>
          </m:accPr>
          <m:e>
            <m:r>
              <m:t>Δ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 with the integral action of the speed loop), and the same</w:t>
      </w:r>
      <w:r>
        <w:t xml:space="preserve"> </w:t>
      </w:r>
      <w:r>
        <w:t xml:space="preserve">controller with the RBF compensation. The gains of Table 2 are the same in both</w:t>
      </w:r>
      <w:r>
        <w:t xml:space="preserve"> </w:t>
      </w:r>
      <w:r>
        <w:t xml:space="preserve">configurations, so that any improvement can be attributed to the network.</w:t>
      </w:r>
    </w:p>
    <w:p>
      <w:pPr>
        <w:pStyle w:val="BodyText"/>
      </w:pPr>
      <w:r>
        <w:t xml:space="preserve">The model is integrated with a fourth-order Runge–Kutta scheme at the step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over 40 s, starting</w:t>
      </w:r>
      <w:r>
        <w:t xml:space="preserve"> </w:t>
      </w:r>
      <w:r>
        <w:t xml:space="preserve">from the maximum-power equilibrium. To obtain realistic results, the controller only uses measured</w:t>
      </w:r>
      <w:r>
        <w:t xml:space="preserve"> </w:t>
      </w:r>
      <w:r>
        <w:t xml:space="preserve">signals: white noise is added to the current, voltage and speed measurements, the encoder speed is</w:t>
      </w:r>
      <w:r>
        <w:t xml:space="preserve"> </w:t>
      </w:r>
      <w:r>
        <w:t xml:space="preserve">filtered, and the grid voltage contains background harmonics of order 5 (2 %, negative sequence) and</w:t>
      </w:r>
      <w:r>
        <w:t xml:space="preserve"> </w:t>
      </w:r>
      <w:r>
        <w:t xml:space="preserve">7 (1.5 %, positive sequence), i.e., a voltage distortion of 2.5 % (Table 2).</w:t>
      </w:r>
    </w:p>
    <w:p>
      <w:pPr>
        <w:pStyle w:val="BodyText"/>
      </w:pPr>
      <w:r>
        <w:t xml:space="preserve">Two wind profiles are applied (Figure 4). The step profile (9 m/s, 11 m/s at 10 s and</w:t>
      </w:r>
      <w:r>
        <w:t xml:space="preserve"> </w:t>
      </w:r>
      <w:r>
        <w:t xml:space="preserve">8 m/s at 25 s), similar to the one of [18], assesses the transient response. The turbulent</w:t>
      </w:r>
      <w:r>
        <w:t xml:space="preserve"> </w:t>
      </w:r>
      <w:r>
        <w:t xml:space="preserve">profile is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m</m:t>
                    </m:r>
                    <m:r>
                      <m:t>e</m:t>
                    </m:r>
                    <m:r>
                      <m:t>a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3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t</m:t>
                    </m:r>
                  </m:e>
                </m:d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t</m:t>
                    </m:r>
                    <m:r>
                      <m:t>u</m:t>
                    </m:r>
                    <m:r>
                      <m:t>r</m:t>
                    </m:r>
                    <m:r>
                      <m:t>b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(28)</w:t>
            </w:r>
          </w:p>
        </w:tc>
      </w:tr>
    </w:tbl>
    <w:p>
      <w:pPr>
        <w:pStyle w:val="BodyText"/>
        <w:ind w:firstLine="0"/>
      </w:pP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e</m:t>
            </m:r>
            <m:r>
              <m:t>a</m:t>
            </m:r>
            <m:r>
              <m:t>n</m:t>
            </m:r>
          </m:sub>
        </m:sSub>
        <m:r>
          <m:rPr>
            <m:sty m:val="p"/>
          </m:rPr>
          <m:t>=</m:t>
        </m:r>
        <m:r>
          <m:t>8.5</m:t>
        </m:r>
      </m:oMath>
      <w:r>
        <w:t xml:space="preserve"> m/s,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1.5</m:t>
            </m:r>
            <m:r>
              <m:rPr>
                <m:sty m:val="p"/>
              </m:rPr>
              <m:t>,</m:t>
            </m:r>
            <m:r>
              <m:t> </m:t>
            </m:r>
            <m:r>
              <m:t>0.2</m:t>
            </m:r>
            <m:r>
              <m:rPr>
                <m:sty m:val="p"/>
              </m:rPr>
              <m:t>,</m:t>
            </m:r>
            <m:r>
              <m:t> </m:t>
            </m:r>
            <m:r>
              <m:t>0.3</m:t>
            </m:r>
          </m:e>
        </m:d>
      </m:oMath>
      <w:r>
        <w:t xml:space="preserve"> m/s 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0.03</m:t>
            </m:r>
            <m:r>
              <m:rPr>
                <m:sty m:val="p"/>
              </m:rPr>
              <m:t>,</m:t>
            </m:r>
            <m:r>
              <m:t> </m:t>
            </m:r>
            <m:r>
              <m:t>0.16</m:t>
            </m:r>
            <m:r>
              <m:rPr>
                <m:sty m:val="p"/>
              </m:rPr>
              <m:t>,</m:t>
            </m:r>
            <m:r>
              <m:t> </m:t>
            </m:r>
            <m:r>
              <m:t>0.17</m:t>
            </m:r>
          </m:e>
        </m:d>
      </m:oMath>
      <w:r>
        <w:t xml:space="preserve"> Hz [27]. The</w:t>
      </w:r>
      <w:r>
        <w:t xml:space="preserve"> </w:t>
      </w:r>
      <w:r>
        <w:t xml:space="preserve">turbulence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t>u</m:t>
            </m:r>
            <m:r>
              <m:t>r</m:t>
            </m:r>
            <m:r>
              <m:t>b</m:t>
            </m:r>
          </m:sub>
        </m:sSub>
      </m:oMath>
      <w:r>
        <w:t xml:space="preserve"> </w:t>
      </w:r>
      <w:r>
        <w:t xml:space="preserve">is a first-order coloured noise with a standard deviation of 0.5 m/s and a</w:t>
      </w:r>
      <w:r>
        <w:t xml:space="preserve"> </w:t>
      </w:r>
      <w:r>
        <w:t xml:space="preserve">correlation time of 1.5 s. Over 40 s, the turbulent wind remains between 6.0 and 10.9 m/s, below the rated</w:t>
      </w:r>
      <w:r>
        <w:t xml:space="preserve"> </w:t>
      </w:r>
      <w:r>
        <w:t xml:space="preserve">wind speed. The controller uses the anemometer measurement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, modeled by a first-order lag of 1 s.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5760000" cy="1828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center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4.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Applied wind-speed profiles: (</w:t>
      </w:r>
      <w:r>
        <w:rPr>
          <w:rFonts w:ascii="Times New Roman" w:hAnsi="Times New Roman"/>
          <w:b/>
          <w:bCs/>
          <w:sz w:val="20"/>
        </w:rPr>
        <w:t xml:space="preserve">a</w:t>
      </w:r>
      <w:r>
        <w:rPr>
          <w:rFonts w:ascii="Times New Roman" w:hAnsi="Times New Roman"/>
          <w:sz w:val="20"/>
        </w:rPr>
        <w:t xml:space="preserve">) step profile; (</w:t>
      </w:r>
      <w:r>
        <w:rPr>
          <w:rFonts w:ascii="Times New Roman" w:hAnsi="Times New Roman"/>
          <w:b/>
          <w:bCs/>
          <w:sz w:val="20"/>
        </w:rPr>
        <w:t xml:space="preserve">b</w:t>
      </w:r>
      <w:r>
        <w:rPr>
          <w:rFonts w:ascii="Times New Roman" w:hAnsi="Times New Roman"/>
          <w:sz w:val="20"/>
        </w:rPr>
        <w:t xml:space="preserve">) turbulent profile.</w:t>
      </w:r>
    </w:p>
    <w:p>
      <w:pPr>
        <w:pStyle w:val="BodyText"/>
      </w:pPr>
      <w:r>
        <w:t xml:space="preserve">Three cases are considered: (i) step wind with nominal parameters; (ii) turbulent wind with nominal</w:t>
      </w:r>
      <w:r>
        <w:t xml:space="preserve"> </w:t>
      </w:r>
      <w:r>
        <w:t xml:space="preserve">parameters; (iii) robustness: turbulent wind, with a true plant that differs from the model of the</w:t>
      </w:r>
      <w:r>
        <w:t xml:space="preserve"> </w:t>
      </w:r>
      <w:r>
        <w:t xml:space="preserve">controller (</w:t>
      </w:r>
      <m:oMath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×</m:t>
        </m:r>
        <m:r>
          <m:t>1.1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×</m:t>
        </m:r>
        <m:r>
          <m:t>1.2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×</m:t>
        </m:r>
        <m:r>
          <m:t>1.5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s</m:t>
            </m:r>
          </m:sub>
        </m:sSub>
        <m:r>
          <m:rPr>
            <m:sty m:val="p"/>
          </m:rPr>
          <m:t>×</m:t>
        </m:r>
        <m:r>
          <m:t>1.2</m:t>
        </m:r>
      </m:oMath>
      <w:r>
        <w:t xml:space="preserve">,</w:t>
      </w:r>
      <w:r>
        <w:t xml:space="preserve"> </w:t>
      </w:r>
      <m:oMath>
        <m:sSub>
          <m:e>
            <m:r>
              <m:t>ψ</m:t>
            </m:r>
          </m:e>
          <m:sub>
            <m:r>
              <m:t>f</m:t>
            </m:r>
          </m:sub>
        </m:sSub>
        <m:r>
          <m:rPr>
            <m:sty m:val="p"/>
          </m:rPr>
          <m:t>×</m:t>
        </m:r>
        <m:r>
          <m:t>0.95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f</m:t>
            </m:r>
          </m:sub>
        </m:sSub>
        <m:r>
          <m:rPr>
            <m:sty m:val="p"/>
          </m:rPr>
          <m:t>×</m:t>
        </m:r>
        <m:r>
          <m:t>1.5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r>
          <m:rPr>
            <m:sty m:val="p"/>
          </m:rPr>
          <m:t>×</m:t>
        </m:r>
        <m:r>
          <m:t>1.25</m:t>
        </m:r>
      </m:oMath>
      <w:r>
        <w:t xml:space="preserve">), and a 50 % grid voltage dip between 25 and 25.15 s.</w:t>
      </w:r>
    </w:p>
    <w:p>
      <w:pPr>
        <w:pStyle w:val="BodyText"/>
      </w:pPr>
      <w:r>
        <w:t xml:space="preserve">The speed tracking performance is evaluated with the speed error</w:t>
      </w:r>
      <w:r>
        <w:t xml:space="preserve"> </w:t>
      </w:r>
      <m:oMath>
        <m:sSub>
          <m:e>
            <m:r>
              <m:t>e</m:t>
            </m:r>
          </m:e>
          <m:sub>
            <m:r>
              <m:t>Ω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Ω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w:r>
        <w:t xml:space="preserve">by the root-mean-square error, the mean absolute error, the maximum error, and the integral absolute and</w:t>
      </w:r>
      <w:r>
        <w:t xml:space="preserve"> </w:t>
      </w:r>
      <w:r>
        <w:t xml:space="preserve">squared errors:</w:t>
      </w:r>
    </w:p>
    <w:tbl>
      <w:tblPr>
        <w:tblW w:type="dxa" w:w="9072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93"/>
        <w:gridCol w:w="7484"/>
        <w:gridCol w:w="793"/>
      </w:tblGrid>
      <w:tr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</w:pPr>
          </w:p>
        </w:tc>
        <w:tc>
          <w:tcPr>
            <w:tcW w:type="dxa" w:w="7483"/>
            <w:vAlign w:val="center"/>
          </w:tcPr>
          <w:p>
            <w:pPr>
              <w:spacing w:before="60" w:after="60"/>
              <w:ind w:firstLine="0"/>
              <w:jc w:val="center"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rPr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=</m:t>
                      </m:r>
                      <m:rad>
                        <m:radPr>
                          <m:degHide m:val="on"/>
                        </m:radPr>
                        <m:deg/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N</m:t>
                              </m:r>
                            </m:den>
                          </m:f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ff"/>
                            </m:naryPr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b>
                            <m:sup>
                              <m:r>
                                <m:t>N</m:t>
                              </m:r>
                            </m:sup>
                            <m:e>
                              <m:sSubSup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Ω</m:t>
                                  </m:r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</m:e>
                          </m:nary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k</m:t>
                              </m:r>
                            </m:e>
                          </m:d>
                        </m:e>
                      </m:rad>
                      <m:r>
                        <m:rPr>
                          <m:sty m:val="p"/>
                        </m:rPr>
                        <m:t>,</m:t>
                      </m:r>
                      <m:r>
                        <m:t>  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d>
                            <m:dPr>
                              <m:begChr m:val="|"/>
                              <m:sepChr m:val=""/>
                              <m:endChr m:val="|"/>
                              <m:grow/>
                            </m:dPr>
                            <m:e>
                              <m:sSub>
                                <m:e>
                                  <m:r>
                                    <m:t>e</m:t>
                                  </m:r>
                                </m:e>
                                <m:sub>
                                  <m:r>
                                    <m:t>Ω</m:t>
                                  </m:r>
                                </m:sub>
                              </m:sSub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k</m:t>
                                  </m:r>
                                </m:e>
                              </m:d>
                            </m:e>
                          </m:d>
                        </m:e>
                      </m:nary>
                      <m:r>
                        <m:rPr>
                          <m:sty m:val="p"/>
                        </m:rPr>
                        <m:t>,</m:t>
                      </m:r>
                      <m:r>
                        <m:t>  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max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limLow>
                        <m:e>
                          <m:r>
                            <m:rPr>
                              <m:sty m:val="p"/>
                            </m:rPr>
                            <m:t>max</m:t>
                          </m:r>
                        </m:e>
                        <m:lim>
                          <m:r>
                            <m:t>k</m:t>
                          </m:r>
                        </m:lim>
                      </m:limLow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Ω</m:t>
                              </m:r>
                            </m:sub>
                          </m:sSub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k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∫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sSub>
                            <m:e>
                              <m:r>
                                <m:t>e</m:t>
                              </m:r>
                            </m:e>
                            <m:sub>
                              <m:r>
                                <m:t>Ω</m:t>
                              </m:r>
                            </m:sub>
                          </m:sSub>
                        </m:e>
                      </m:d>
                      <m:r>
                        <m:t> </m:t>
                      </m:r>
                      <m:r>
                        <m:t>d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  </m:t>
                      </m:r>
                      <m:r>
                        <m:rPr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∫</m:t>
                      </m:r>
                      <m:sSubSup>
                        <m:e>
                          <m:r>
                            <m:t>e</m:t>
                          </m:r>
                        </m:e>
                        <m:sub>
                          <m:r>
                            <m:t>Ω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t> </m:t>
                      </m:r>
                      <m:r>
                        <m:t>d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</m:m>
              </m:oMath>
            </m:oMathPara>
          </w:p>
        </w:tc>
        <w:tc>
          <w:tcPr>
            <w:tcW w:type="dxa" w:w="794"/>
            <w:vAlign w:val="center"/>
          </w:tcPr>
          <w:p>
            <w:pPr>
              <w:spacing w:before="60" w:after="60"/>
              <w:ind w:firstLine="0"/>
              <w:jc w:val="right"/>
            </w:pPr>
            <w:r>
              <w:rPr>
                <w:rFonts w:ascii="Times New Roman" w:hAnsi="Times New Roman"/>
                <w:sz w:val="22"/>
              </w:rPr>
              <w:t>(29)</w:t>
            </w:r>
          </w:p>
        </w:tc>
      </w:tr>
    </w:tbl>
    <w:p>
      <w:pPr>
        <w:pStyle w:val="BodyText"/>
        <w:ind w:firstLine="0"/>
      </w:pPr>
      <w:r>
        <w:t xml:space="preserve">computed from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 s to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40</m:t>
        </m:r>
      </m:oMath>
      <w:r>
        <w:t xml:space="preserve"> s.</w:t>
      </w:r>
    </w:p>
    <w:bookmarkStart w:id="38" w:name="step-wind"/>
    <w:p>
      <w:pPr>
        <w:pStyle w:val="Heading2"/>
      </w:pPr>
      <w:r>
        <w:t xml:space="preserve">5.1. Step Wind</w:t>
      </w:r>
    </w:p>
    <w:p>
      <w:pPr>
        <w:pStyle w:val="FirstParagraph"/>
      </w:pPr>
      <w:r>
        <w:t xml:space="preserve">Figure 5 shows the references and the measured values of the controlled variables for</w:t>
      </w:r>
      <w:r>
        <w:t xml:space="preserve"> </w:t>
      </w:r>
      <w:r>
        <w:t xml:space="preserve">the step wind with the RBF compensation. The rotor speed follows the MPPT reference from 1.82 to 2.23</w:t>
      </w:r>
      <w:r>
        <w:t xml:space="preserve"> </w:t>
      </w:r>
      <w:r>
        <w:t xml:space="preserve">and then 1.62 rad/s. The currents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q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  <m:r>
              <m:t>d</m:t>
            </m:r>
          </m:sub>
        </m:sSub>
      </m:oMath>
      <w:r>
        <w:t xml:space="preserve"> </w:t>
      </w:r>
      <w:r>
        <w:t xml:space="preserve">follow their references during the transients,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  <m:r>
              <m:t>q</m:t>
            </m:r>
          </m:sub>
        </m:sSub>
      </m:oMath>
      <w:r>
        <w:t xml:space="preserve"> </w:t>
      </w:r>
      <w:r>
        <w:t xml:space="preserve">remain around zero, with the measurement noise and the 300 Hz ripple due to the</w:t>
      </w:r>
      <w:r>
        <w:t xml:space="preserve"> </w:t>
      </w:r>
      <w:r>
        <w:t xml:space="preserve">grid harmonics. The DC-link voltage stays within 7 V (0.6 %) of 1200 V, since the generator power is</w:t>
      </w:r>
      <w:r>
        <w:t xml:space="preserve"> </w:t>
      </w:r>
      <w:r>
        <w:t xml:space="preserve">passed to the grid through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 </w:t>
      </w:r>
      <w:r>
        <w:t xml:space="preserve">in (16).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5760000" cy="4754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ing_ste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5.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Step wind, control with the RBF network: references (dashed) and measured values (solid) of the rotor speed, DC-link voltage, and stator and grid currents, with enlarged views of the step at 25 s.</w:t>
      </w:r>
    </w:p>
    <w:bookmarkEnd w:id="38"/>
    <w:bookmarkStart w:id="39" w:name="turbulent-wind-and-robustness"/>
    <w:p>
      <w:pPr>
        <w:pStyle w:val="Heading2"/>
      </w:pPr>
      <w:r>
        <w:t xml:space="preserve">5.2. Turbulent Wind and Robustness</w:t>
      </w:r>
    </w:p>
    <w:p>
      <w:pPr>
        <w:pStyle w:val="FirstParagraph"/>
      </w:pPr>
      <w:r>
        <w:t xml:space="preserve">Figure 6 shows the robustness case with the RBF compensation. The rotor speed follows its</w:t>
      </w:r>
      <w:r>
        <w:t xml:space="preserve"> </w:t>
      </w:r>
      <w:r>
        <w:t xml:space="preserve">reference, and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stays close to its maximum, except during the fast wind decrease around 22 s, where</w:t>
      </w:r>
      <w:r>
        <w:t xml:space="preserve"> </w:t>
      </w:r>
      <w:r>
        <w:t xml:space="preserve">the inertia prevents the rotor from slowing down quickly. The captured power follows the maximum available</w:t>
      </w:r>
      <w:r>
        <w:t xml:space="preserve"> </w:t>
      </w:r>
      <w:r>
        <w:t xml:space="preserve">power, and the difference between the captured and the injected powers corresponds to the kinetic energy</w:t>
      </w:r>
      <w:r>
        <w:t xml:space="preserve"> </w:t>
      </w:r>
      <w:r>
        <w:t xml:space="preserve">stored in or released by the rotor. The MPPT efficiency, i.e., the ratio between the captured energy and</w:t>
      </w:r>
      <w:r>
        <w:t xml:space="preserve"> </w:t>
      </w:r>
      <w:r>
        <w:t xml:space="preserve">the maximum available energy, is 97.7 %.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5760000" cy="4388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p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6.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Robustness case with the RBF network: rotor speed and reference, power coefficient (dotted:</w:t>
      </w:r>
      <w:r>
        <w:rPr>
          <w:rFonts w:ascii="Times New Roman" w:hAnsi="Times New Roman"/>
          <w:sz w:val="20"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of the true turbine), and maximum available, captured and injected powers.</w:t>
      </w:r>
    </w:p>
    <w:bookmarkEnd w:id="39"/>
    <w:bookmarkStart w:id="40" w:name="Xdca7fe19b287b94d695bc27c045c8820be11332"/>
    <w:p>
      <w:pPr>
        <w:pStyle w:val="Heading2"/>
      </w:pPr>
      <w:r>
        <w:t xml:space="preserve">5.3. Effect of the Adaptive Neural Compensation</w:t>
      </w:r>
    </w:p>
    <w:p>
      <w:pPr>
        <w:pStyle w:val="FirstParagraph"/>
      </w:pPr>
      <w:r>
        <w:t xml:space="preserve">Figure 7 compares the speed error without and with the network. For the step wind, the</w:t>
      </w:r>
      <w:r>
        <w:t xml:space="preserve"> </w:t>
      </w:r>
      <w:r>
        <w:t xml:space="preserve">error after each step vanishes in about 1.9 s with the network instead of 3.9 s without it. In the</w:t>
      </w:r>
      <w:r>
        <w:t xml:space="preserve"> </w:t>
      </w:r>
      <w:r>
        <w:t xml:space="preserve">turbulent cases, the error remains smaller, and the cumulative IAE grows more slowly over the whole</w:t>
      </w:r>
      <w:r>
        <w:t xml:space="preserve"> </w:t>
      </w:r>
      <w:r>
        <w:t xml:space="preserve">simulation. Figure 8 shows that the network output follows the actual uncertainty; their</w:t>
      </w:r>
      <w:r>
        <w:t xml:space="preserve"> </w:t>
      </w:r>
      <w:r>
        <w:t xml:space="preserve">mean values are 82.5 and 83.4 kN</w:t>
      </w:r>
      <m:oMath>
        <m:r>
          <m:rPr>
            <m:sty m:val="p"/>
          </m:rPr>
          <m:t>⋅</m:t>
        </m:r>
      </m:oMath>
      <w:r>
        <w:t xml:space="preserve">m in the robustness case, i.e., about 14 % of the aerodynamic</w:t>
      </w:r>
      <w:r>
        <w:t xml:space="preserve"> </w:t>
      </w:r>
      <w:r>
        <w:t xml:space="preserve">torque.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5760000" cy="49371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_effe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3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7.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Speed tracking error without and with the RBF network: (</w:t>
      </w:r>
      <w:r>
        <w:rPr>
          <w:rFonts w:ascii="Times New Roman" w:hAnsi="Times New Roman"/>
          <w:b/>
          <w:bCs/>
          <w:sz w:val="20"/>
        </w:rPr>
        <w:t xml:space="preserve">a</w:t>
      </w:r>
      <w:r>
        <w:rPr>
          <w:rFonts w:ascii="Times New Roman" w:hAnsi="Times New Roman"/>
          <w:sz w:val="20"/>
        </w:rPr>
        <w:t xml:space="preserve">) step wind, with an enlarged view of the step at 25 s; (</w:t>
      </w:r>
      <w:r>
        <w:rPr>
          <w:rFonts w:ascii="Times New Roman" w:hAnsi="Times New Roman"/>
          <w:b/>
          <w:bCs/>
          <w:sz w:val="20"/>
        </w:rPr>
        <w:t xml:space="preserve">b</w:t>
      </w:r>
      <w:r>
        <w:rPr>
          <w:rFonts w:ascii="Times New Roman" w:hAnsi="Times New Roman"/>
          <w:sz w:val="20"/>
        </w:rPr>
        <w:t xml:space="preserve">) robustness case; (</w:t>
      </w:r>
      <w:r>
        <w:rPr>
          <w:rFonts w:ascii="Times New Roman" w:hAnsi="Times New Roman"/>
          <w:b/>
          <w:bCs/>
          <w:sz w:val="20"/>
        </w:rPr>
        <w:t xml:space="preserve">c</w:t>
      </w:r>
      <w:r>
        <w:rPr>
          <w:rFonts w:ascii="Times New Roman" w:hAnsi="Times New Roman"/>
          <w:sz w:val="20"/>
        </w:rPr>
        <w:t xml:space="preserve">) cumulative IAE for the three cases.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5760000" cy="19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center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8.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Robustness case: output</w:t>
      </w:r>
      <w:r>
        <w:rPr>
          <w:rFonts w:ascii="Times New Roman" w:hAnsi="Times New Roman"/>
          <w:sz w:val="20"/>
        </w:rPr>
        <w:t xml:space="preserve"> </w:t>
      </w:r>
      <m:oMath>
        <m:acc>
          <m:accPr>
            <m:chr m:val="̂"/>
          </m:accPr>
          <m:e>
            <m:r>
              <m:t>Δ</m:t>
            </m:r>
          </m:e>
        </m:acc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of the RBF network and actual uncertainty</w:t>
      </w:r>
      <w:r>
        <w:rPr>
          <w:rFonts w:ascii="Times New Roman" w:hAnsi="Times New Roman"/>
          <w:sz w:val="20"/>
        </w:rPr>
        <w:t xml:space="preserve"> </w:t>
      </w:r>
      <m:oMath>
        <m:r>
          <m:t>Δ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(1-s average).</w:t>
      </w:r>
    </w:p>
    <w:p>
      <w:pPr>
        <w:pStyle w:val="BodyText"/>
      </w:pPr>
      <w:r>
        <w:t xml:space="preserve">The speed tracking results are summarized in Table 3. With the network, the IAE decreases</w:t>
      </w:r>
      <w:r>
        <w:t xml:space="preserve"> </w:t>
      </w:r>
      <w:r>
        <w:t xml:space="preserve">by 44.8 % for the step wind, 26.5 % for the turbulent wind and 27.9 % in the robustness case, and the</w:t>
      </w:r>
      <w:r>
        <w:t xml:space="preserve"> </w:t>
      </w:r>
      <w:r>
        <w:t xml:space="preserve">ISE decreases by 46 to 52 %, while the nominal gains remain unchanged. Table 4 shows that the</w:t>
      </w:r>
      <w:r>
        <w:t xml:space="preserve"> </w:t>
      </w:r>
      <w:r>
        <w:t xml:space="preserve">other variables are practically unchanged: the current errors, the DC-link deviation and the grid-current</w:t>
      </w:r>
      <w:r>
        <w:t xml:space="preserve"> </w:t>
      </w:r>
      <w:r>
        <w:t xml:space="preserve">distortion are the same, and the captured energy and the MPPT efficiency are equal. The grid-current total</w:t>
      </w:r>
      <w:r>
        <w:t xml:space="preserve"> </w:t>
      </w:r>
      <w:r>
        <w:t xml:space="preserve">harmonic distortion (THD), between 1.5 and 3.9 %, is below the 5 % limit of [31]. The</w:t>
      </w:r>
      <w:r>
        <w:t xml:space="preserve"> </w:t>
      </w:r>
      <w:r>
        <w:t xml:space="preserve">price of the compensation is a slightly more active torque, with a 9 to 12 % larger standard deviation</w:t>
      </w:r>
      <w:r>
        <w:t xml:space="preserve"> </w:t>
      </w:r>
      <w:r>
        <w:t xml:space="preserve">of its rate.</w:t>
      </w:r>
    </w:p>
    <w:p>
      <w:pPr>
        <w:pStyle w:val="BodyText"/>
        <w:keepNext/>
        <w:spacing w:before="200" w:after="8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Table 3.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Speed tracking performance of the nominal controller and of the controller with the adaptive RBF compensation (best values in bold).</w:t>
      </w:r>
    </w:p>
    <w:tbl>
      <w:tblPr>
        <w:tblStyle w:val="Table"/>
        <w:tblW w:type="dxa" w:w="8618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Row="1" w:lastRow="0" w:firstColumn="0" w:lastColumn="0" w:noHBand="0" w:noVBand="0" w:val="0020"/>
      </w:tblPr>
      <w:tblGrid>
        <w:gridCol w:w="1701"/>
        <w:gridCol w:w="2268"/>
        <w:gridCol w:w="1474"/>
        <w:gridCol w:w="1360"/>
        <w:gridCol w:w="1814"/>
      </w:tblGrid>
      <w:tr>
        <w:trPr>
          <w:tblHeader w:val="true"/>
          <w:cantSplit/>
        </w:trPr>
        <w:tc>
          <w:tcPr>
            <w:tcW w:type="dxa" w:w="1701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Case</w:t>
            </w:r>
          </w:p>
        </w:tc>
        <w:tc>
          <w:tcPr>
            <w:tcW w:type="dxa" w:w="2268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Metric</w:t>
            </w:r>
          </w:p>
        </w:tc>
        <w:tc>
          <w:tcPr>
            <w:tcW w:type="dxa" w:w="1474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Without ANN</w:t>
            </w:r>
          </w:p>
        </w:tc>
        <w:tc>
          <w:tcPr>
            <w:tcW w:type="dxa" w:w="1361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With ANN</w:t>
            </w:r>
          </w:p>
        </w:tc>
        <w:tc>
          <w:tcPr>
            <w:tcW w:type="dxa" w:w="1814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Improvement (%)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Step wind</w:t>
            </w:r>
          </w:p>
        </w:tc>
        <w:tc>
          <w:tcPr>
            <w:tcW w:type="dxa" w:w="226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RMSE (mrad/s)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4.99</w:t>
            </w:r>
          </w:p>
        </w:tc>
        <w:tc>
          <w:tcPr>
            <w:tcW w:type="dxa" w:w="1361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3.67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26.5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MAE (mrad/s)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1.81</w:t>
            </w:r>
          </w:p>
        </w:tc>
        <w:tc>
          <w:tcPr>
            <w:tcW w:type="dxa" w:w="1361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1.00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44.8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(mrad/s)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33.2</w:t>
            </w:r>
          </w:p>
        </w:tc>
        <w:tc>
          <w:tcPr>
            <w:tcW w:type="dxa" w:w="1361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30.1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9.5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IAE (mrad)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70.6</w:t>
            </w:r>
          </w:p>
        </w:tc>
        <w:tc>
          <w:tcPr>
            <w:tcW w:type="dxa" w:w="1361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39.0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44.8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ISE (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</w:t>
            </w:r>
            <w:r>
              <w:rPr>
                <w:rFonts w:ascii="Times New Roman" w:hAnsi="Times New Roman"/>
                <w:sz w:val="20"/>
                <w:vertAlign w:val="superscript"/>
              </w:rPr>
              <w:t xml:space="preserve">2</w:t>
            </w:r>
            <w:r>
              <w:rPr>
                <w:rFonts w:ascii="Times New Roman" w:hAnsi="Times New Roman"/>
                <w:sz w:val="20"/>
              </w:rPr>
              <w:t xml:space="preserve">/s)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9.71</w:t>
            </w:r>
          </w:p>
        </w:tc>
        <w:tc>
          <w:tcPr>
            <w:tcW w:type="dxa" w:w="1361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5.24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46.0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Turbulent wind</w:t>
            </w:r>
          </w:p>
        </w:tc>
        <w:tc>
          <w:tcPr>
            <w:tcW w:type="dxa" w:w="2268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RMSE (mrad/s)</w:t>
            </w:r>
          </w:p>
        </w:tc>
        <w:tc>
          <w:tcPr>
            <w:tcW w:type="dxa" w:w="1474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4.61</w:t>
            </w:r>
          </w:p>
        </w:tc>
        <w:tc>
          <w:tcPr>
            <w:tcW w:type="dxa" w:w="1361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3.25</w:t>
            </w:r>
          </w:p>
        </w:tc>
        <w:tc>
          <w:tcPr>
            <w:tcW w:type="dxa" w:w="1814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29.6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MAE (mrad/s)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3.63</w:t>
            </w:r>
          </w:p>
        </w:tc>
        <w:tc>
          <w:tcPr>
            <w:tcW w:type="dxa" w:w="1361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2.66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26.5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(mrad/s)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12.7</w:t>
            </w:r>
          </w:p>
        </w:tc>
        <w:tc>
          <w:tcPr>
            <w:tcW w:type="dxa" w:w="1361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7.42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41.4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IAE (mrad)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141.4</w:t>
            </w:r>
          </w:p>
        </w:tc>
        <w:tc>
          <w:tcPr>
            <w:tcW w:type="dxa" w:w="1361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103.9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26.5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ISE (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</w:t>
            </w:r>
            <w:r>
              <w:rPr>
                <w:rFonts w:ascii="Times New Roman" w:hAnsi="Times New Roman"/>
                <w:sz w:val="20"/>
                <w:vertAlign w:val="superscript"/>
              </w:rPr>
              <w:t xml:space="preserve">2</w:t>
            </w:r>
            <w:r>
              <w:rPr>
                <w:rFonts w:ascii="Times New Roman" w:hAnsi="Times New Roman"/>
                <w:sz w:val="20"/>
              </w:rPr>
              <w:t xml:space="preserve">/s)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8.28</w:t>
            </w:r>
          </w:p>
        </w:tc>
        <w:tc>
          <w:tcPr>
            <w:tcW w:type="dxa" w:w="1361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4.11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50.4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Robustness</w:t>
            </w:r>
          </w:p>
        </w:tc>
        <w:tc>
          <w:tcPr>
            <w:tcW w:type="dxa" w:w="2268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RMSE (mrad/s)</w:t>
            </w:r>
          </w:p>
        </w:tc>
        <w:tc>
          <w:tcPr>
            <w:tcW w:type="dxa" w:w="1474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5.55</w:t>
            </w:r>
          </w:p>
        </w:tc>
        <w:tc>
          <w:tcPr>
            <w:tcW w:type="dxa" w:w="1361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3.87</w:t>
            </w:r>
          </w:p>
        </w:tc>
        <w:tc>
          <w:tcPr>
            <w:tcW w:type="dxa" w:w="1814"/>
            <w:tcBorders>
              <w:top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30.4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MAE (mrad/s)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4.47</w:t>
            </w:r>
          </w:p>
        </w:tc>
        <w:tc>
          <w:tcPr>
            <w:tcW w:type="dxa" w:w="1361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3.22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27.9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(mrad/s)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14.2</w:t>
            </w:r>
          </w:p>
        </w:tc>
        <w:tc>
          <w:tcPr>
            <w:tcW w:type="dxa" w:w="1361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8.93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37.0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26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IAE (mrad)</w:t>
            </w:r>
          </w:p>
        </w:tc>
        <w:tc>
          <w:tcPr>
            <w:tcW w:type="dxa" w:w="147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174.3</w:t>
            </w:r>
          </w:p>
        </w:tc>
        <w:tc>
          <w:tcPr>
            <w:tcW w:type="dxa" w:w="1361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125.7</w:t>
            </w:r>
          </w:p>
        </w:tc>
        <w:tc>
          <w:tcPr>
            <w:tcW w:type="dxa" w:w="181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27.9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2268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ISE (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rad</w:t>
            </w:r>
            <w:r>
              <w:rPr>
                <w:rFonts w:ascii="Times New Roman" w:hAnsi="Times New Roman"/>
                <w:sz w:val="20"/>
                <w:vertAlign w:val="superscript"/>
              </w:rPr>
              <w:t xml:space="preserve">2</w:t>
            </w:r>
            <w:r>
              <w:rPr>
                <w:rFonts w:ascii="Times New Roman" w:hAnsi="Times New Roman"/>
                <w:sz w:val="20"/>
              </w:rPr>
              <w:t xml:space="preserve">/s)</w:t>
            </w:r>
          </w:p>
        </w:tc>
        <w:tc>
          <w:tcPr>
            <w:tcW w:type="dxa" w:w="1474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12.0</w:t>
            </w:r>
          </w:p>
        </w:tc>
        <w:tc>
          <w:tcPr>
            <w:tcW w:type="dxa" w:w="1361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5.83</w:t>
            </w:r>
          </w:p>
        </w:tc>
        <w:tc>
          <w:tcPr>
            <w:tcW w:type="dxa" w:w="1814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51.5</w:t>
            </w:r>
          </w:p>
        </w:tc>
      </w:tr>
    </w:tbl>
    <w:p>
      <w:pPr>
        <w:pStyle w:val="BodyText"/>
        <w:keepNext/>
        <w:spacing w:before="200" w:after="8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Table 4.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Performance of the whole system without and with the adaptive RBF compensation (40 s, from</w:t>
      </w:r>
      <w:r>
        <w:rPr>
          <w:rFonts w:ascii="Times New Roman" w:hAnsi="Times New Roman"/>
          <w:sz w:val="20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/>
          <w:sz w:val="20"/>
        </w:rPr>
        <w:t xml:space="preserve"> s; best values in bold, both in bold when the difference is negligible).</w:t>
      </w:r>
    </w:p>
    <w:tbl>
      <w:tblPr>
        <w:tblStyle w:val="Table"/>
        <w:tblW w:type="dxa" w:w="8391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Row="0" w:lastRow="0" w:firstColumn="0" w:lastColumn="0" w:noHBand="0" w:noVBand="0" w:val="0000"/>
      </w:tblPr>
      <w:tblGrid>
        <w:gridCol w:w="2608"/>
        <w:gridCol w:w="963"/>
        <w:gridCol w:w="963"/>
        <w:gridCol w:w="963"/>
        <w:gridCol w:w="963"/>
        <w:gridCol w:w="963"/>
        <w:gridCol w:w="963"/>
      </w:tblGrid>
      <w:tr>
        <w:trPr>
          <w:cantSplit/>
        </w:trPr>
        <w:tc>
          <w:tcPr>
            <w:tcW w:type="dxa" w:w="2608"/>
            <w:tcBorders>
              <w:top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</w:p>
        </w:tc>
        <w:tc>
          <w:tcPr>
            <w:tcW w:type="dxa" w:w="964"/>
            <w:gridSpan w:val="2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Step wind</w:t>
            </w:r>
          </w:p>
        </w:tc>
        <w:tc>
          <w:tcPr>
            <w:tcW w:type="dxa" w:w="964"/>
            <w:gridSpan w:val="2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Turbulent wind</w:t>
            </w:r>
          </w:p>
        </w:tc>
        <w:tc>
          <w:tcPr>
            <w:tcW w:type="dxa" w:w="964"/>
            <w:gridSpan w:val="2"/>
            <w:tcBorders>
              <w:top w:val="single" w:sz="12" w:space="0" w:color="000000"/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Robustness</w:t>
            </w:r>
          </w:p>
        </w:tc>
      </w:tr>
      <w:tr>
        <w:trPr>
          <w:cantSplit/>
        </w:trPr>
        <w:tc>
          <w:tcPr>
            <w:tcW w:type="dxa" w:w="2608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Metric</w:t>
            </w:r>
          </w:p>
        </w:tc>
        <w:tc>
          <w:tcPr>
            <w:tcW w:type="dxa" w:w="964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Without</w:t>
            </w:r>
          </w:p>
        </w:tc>
        <w:tc>
          <w:tcPr>
            <w:tcW w:type="dxa" w:w="964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With</w:t>
            </w:r>
          </w:p>
        </w:tc>
        <w:tc>
          <w:tcPr>
            <w:tcW w:type="dxa" w:w="964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Without</w:t>
            </w:r>
          </w:p>
        </w:tc>
        <w:tc>
          <w:tcPr>
            <w:tcW w:type="dxa" w:w="964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With</w:t>
            </w:r>
          </w:p>
        </w:tc>
        <w:tc>
          <w:tcPr>
            <w:tcW w:type="dxa" w:w="964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Without</w:t>
            </w:r>
          </w:p>
        </w:tc>
        <w:tc>
          <w:tcPr>
            <w:tcW w:type="dxa" w:w="964"/>
            <w:tcBorders>
              <w:bottom w:val="single" w:sz="6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With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Max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d</m:t>
                      </m:r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t>d</m:t>
                      </m:r>
                      <m:r>
                        <m:t>c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(V)</w:t>
            </w:r>
            <w:r>
              <w:rPr>
                <w:rFonts w:ascii="Times New Roman" w:hAnsi="Times New Roman"/>
                <w:sz w:val="20"/>
                <w:vertAlign w:val="superscript"/>
              </w:rPr>
              <w:t xml:space="preserve">1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6.96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6.94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7.03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6.90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9.32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9.10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RMS error 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(A)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5.83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5.80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5.85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5.81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5.81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5.79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RMS error 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g</m:t>
                  </m:r>
                  <m:r>
                    <m:t>d</m:t>
                  </m:r>
                </m:sub>
              </m:sSub>
            </m:oMath>
            <w:r>
              <w:rPr>
                <w:rFonts w:ascii="Times New Roman" w:hAnsi="Times New Roman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 xml:space="preserve">(A)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41.5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41.4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42.3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42.3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35.1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35.0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Grid-current THD (%)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1.45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1.45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3.86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3.92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2.55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2.58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Energy (kWh)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13.86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13.86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10.05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10.04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10.98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10.97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MPPT efficiency (%)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98.0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98.0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97.7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97.7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97.7</w:t>
            </w:r>
          </w:p>
        </w:tc>
        <w:tc>
          <w:tcPr>
            <w:tcW w:type="dxa" w:w="964"/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97.7</w:t>
            </w:r>
          </w:p>
        </w:tc>
      </w:tr>
      <w:tr>
        <w:trPr>
          <w:cantSplit/>
        </w:trPr>
        <w:tc>
          <w:tcPr>
            <w:tcW w:type="dxa" w:w="2608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Torque rate std (MN</w:t>
            </w:r>
            <m:oMath>
              <m:r>
                <m:rPr>
                  <m:sty m:val="p"/>
                </m:rPr>
                <m:t>⋅</m:t>
              </m:r>
            </m:oMath>
            <w:r>
              <w:rPr>
                <w:rFonts w:ascii="Times New Roman" w:hAnsi="Times New Roman"/>
                <w:sz w:val="20"/>
              </w:rPr>
              <w:t xml:space="preserve">m/s)</w:t>
            </w:r>
            <w:r>
              <w:rPr>
                <w:rFonts w:ascii="Times New Roman" w:hAnsi="Times New Roman"/>
                <w:sz w:val="20"/>
                <w:vertAlign w:val="superscript"/>
              </w:rPr>
              <w:t xml:space="preserve">2</w:t>
            </w:r>
          </w:p>
        </w:tc>
        <w:tc>
          <w:tcPr>
            <w:tcW w:type="dxa" w:w="964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0.239</w:t>
            </w:r>
          </w:p>
        </w:tc>
        <w:tc>
          <w:tcPr>
            <w:tcW w:type="dxa" w:w="964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0.267</w:t>
            </w:r>
          </w:p>
        </w:tc>
        <w:tc>
          <w:tcPr>
            <w:tcW w:type="dxa" w:w="964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0.212</w:t>
            </w:r>
          </w:p>
        </w:tc>
        <w:tc>
          <w:tcPr>
            <w:tcW w:type="dxa" w:w="964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0.231</w:t>
            </w:r>
          </w:p>
        </w:tc>
        <w:tc>
          <w:tcPr>
            <w:tcW w:type="dxa" w:w="964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b/>
                <w:bCs/>
                <w:sz w:val="20"/>
              </w:rPr>
              <w:t xml:space="preserve">0.210</w:t>
            </w:r>
          </w:p>
        </w:tc>
        <w:tc>
          <w:tcPr>
            <w:tcW w:type="dxa" w:w="964"/>
            <w:tcBorders>
              <w:bottom w:val="single" w:sz="12" w:space="0" w:color="000000"/>
            </w:tcBorders>
            <w:vAlign w:val="center"/>
          </w:tcPr>
          <w:p>
            <w:pPr>
              <w:pStyle w:val="Compact"/>
              <w:spacing w:before="20" w:after="20"/>
              <w:ind w:firstLine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0.233</w:t>
            </w:r>
          </w:p>
        </w:tc>
      </w:tr>
    </w:tbl>
    <w:p>
      <w:pPr>
        <w:pStyle w:val="BodyText"/>
        <w:spacing w:before="40" w:after="160"/>
        <w:ind w:firstLine="0"/>
        <w:jc w:val="center"/>
      </w:pPr>
      <w:r>
        <w:rPr>
          <w:rFonts w:ascii="Times New Roman" w:hAnsi="Times New Roman"/>
          <w:sz w:val="18"/>
        </w:rPr>
        <w:t xml:space="preserve"/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  <w:vertAlign w:val="superscript"/>
        </w:rPr>
        <w:t xml:space="preserve">1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outside the grid voltage dip;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  <w:vertAlign w:val="superscript"/>
        </w:rPr>
        <w:t xml:space="preserve">2</w:t>
      </w:r>
      <w:r>
        <w:rPr>
          <w:rFonts w:ascii="Times New Roman" w:hAnsi="Times New Roman"/>
          <w:sz w:val="18"/>
        </w:rPr>
        <w:t xml:space="preserve"> </w:t>
      </w:r>
      <w:r>
        <w:rPr>
          <w:rFonts w:ascii="Times New Roman" w:hAnsi="Times New Roman"/>
          <w:sz w:val="18"/>
        </w:rPr>
        <w:t xml:space="preserve">of the torque averaged over 50 ms.</w:t>
      </w:r>
    </w:p>
    <w:bookmarkEnd w:id="40"/>
    <w:bookmarkStart w:id="41" w:name="grid-voltage-dip"/>
    <w:p>
      <w:pPr>
        <w:pStyle w:val="Heading2"/>
      </w:pPr>
      <w:r>
        <w:t xml:space="preserve">5.4. Grid Voltage Dip</w:t>
      </w:r>
    </w:p>
    <w:p>
      <w:pPr>
        <w:pStyle w:val="FirstParagraph"/>
      </w:pPr>
      <w:r>
        <w:t xml:space="preserve">Figure 9 shows the 50 % voltage dip of the robustness case. The grid current doubles, from</w:t>
      </w:r>
      <w:r>
        <w:t xml:space="preserve"> </w:t>
      </w:r>
      <w:r>
        <w:t xml:space="preserve">0.8 to 1.6 kA, to keep the injected power, which remains below the current limit of the converter. The</w:t>
      </w:r>
      <w:r>
        <w:t xml:space="preserve"> </w:t>
      </w:r>
      <w:r>
        <w:t xml:space="preserve">DC-link voltage deviates by 16 V (1.3 %) at the beginning of the dip and returns within 5 V of 1200 V</w:t>
      </w:r>
      <w:r>
        <w:t xml:space="preserve"> </w:t>
      </w:r>
      <w:r>
        <w:t xml:space="preserve">about 50 ms after the end of the dip.</w:t>
      </w:r>
    </w:p>
    <w:p>
      <w:pPr>
        <w:pStyle w:val="BodyText"/>
        <w:keepNext/>
        <w:spacing w:before="160" w:after="80"/>
        <w:ind w:firstLine="0"/>
        <w:jc w:val="center"/>
      </w:pPr>
      <w:r>
        <w:drawing>
          <wp:inline>
            <wp:extent cx="5760000" cy="39337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3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spacing w:before="40" w:after="200"/>
        <w:ind w:firstLine="0"/>
        <w:jc w:val="both"/>
      </w:pPr>
      <w:r>
        <w:rPr>
          <w:rFonts w:ascii="Times New Roman" w:hAnsi="Times New Roman"/>
          <w:sz w:val="20"/>
        </w:rPr>
        <w:t xml:space="preserve"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Figure 9.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Robustness case: grid voltage and current of phase</w:t>
      </w:r>
      <w:r>
        <w:rPr>
          <w:rFonts w:ascii="Times New Roman" w:hAnsi="Times New Roman"/>
          <w:sz w:val="20"/>
        </w:rPr>
        <w:t xml:space="preserve"> </w:t>
      </w:r>
      <m:oMath>
        <m:r>
          <m:t>a</m:t>
        </m:r>
      </m:oMath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and DC-link voltage during the 50 % voltage dip (shaded).</w:t>
      </w:r>
    </w:p>
    <w:bookmarkEnd w:id="41"/>
    <w:bookmarkEnd w:id="42"/>
    <w:bookmarkStart w:id="43" w:name="conclusions"/>
    <w:p>
      <w:pPr>
        <w:pStyle w:val="Heading1"/>
      </w:pPr>
      <w:r>
        <w:t xml:space="preserve">6. Conclusions</w:t>
      </w:r>
    </w:p>
    <w:p>
      <w:pPr>
        <w:pStyle w:val="FirstParagraph"/>
      </w:pPr>
      <w:r>
        <w:t xml:space="preserve">This paper presented a flatness-based and passivity-based control with adaptive RBF neural compensation</w:t>
      </w:r>
      <w:r>
        <w:t xml:space="preserve"> </w:t>
      </w:r>
      <w:r>
        <w:t xml:space="preserve">for a 2 MW direct-drive PMSG wind energy conversion system. The system was modeled from the wind to the</w:t>
      </w:r>
      <w:r>
        <w:t xml:space="preserve"> </w:t>
      </w:r>
      <w:r>
        <w:t xml:space="preserve">grid in the receptor convention, and an exact power balance verified the signs of the model. The rotor</w:t>
      </w:r>
      <w:r>
        <w:t xml:space="preserve"> </w:t>
      </w:r>
      <w:r>
        <w:t xml:space="preserve">speed and the energy of the DC link and of the filter were used as flat outputs, the currents of both</w:t>
      </w:r>
      <w:r>
        <w:t xml:space="preserve"> </w:t>
      </w:r>
      <w:r>
        <w:t xml:space="preserve">converters were controlled by PBC with a proof of convergence, and an RBF network adapted by a</w:t>
      </w:r>
      <w:r>
        <w:t xml:space="preserve"> </w:t>
      </w:r>
      <w:r>
        <w:t xml:space="preserve">Lyapunov-based law compensated the aerodynamic-torque and parameter uncertainty with uniformly ultimately</w:t>
      </w:r>
      <w:r>
        <w:t xml:space="preserve"> </w:t>
      </w:r>
      <w:r>
        <w:t xml:space="preserve">bounded errors. Simulation results with sensor noise, grid harmonics, parameter mismatch and a voltage dip</w:t>
      </w:r>
      <w:r>
        <w:t xml:space="preserve"> </w:t>
      </w:r>
      <w:r>
        <w:t xml:space="preserve">showed that all the controlled variables track their references, that the DC-link voltage remains within</w:t>
      </w:r>
      <w:r>
        <w:t xml:space="preserve"> </w:t>
      </w:r>
      <w:r>
        <w:t xml:space="preserve">0.8 % of its reference outside the dip, and that the network reduces the integral absolute speed error by</w:t>
      </w:r>
      <w:r>
        <w:t xml:space="preserve"> </w:t>
      </w:r>
      <w:r>
        <w:t xml:space="preserve">26.5 to 44.8 % with the same captured energy and the same nominal gains.</w:t>
      </w:r>
    </w:p>
    <w:p>
      <w:pPr>
        <w:pStyle w:val="BodyText"/>
      </w:pPr>
      <w:r>
        <w:t xml:space="preserve">The proposed control has been validated by numerical simulations with the average model of the</w:t>
      </w:r>
      <w:r>
        <w:t xml:space="preserve"> </w:t>
      </w:r>
      <w:r>
        <w:t xml:space="preserve">converters, so the switching ripple is not represented, and with an ideal synchronization to the grid.</w:t>
      </w:r>
      <w:r>
        <w:t xml:space="preserve"> </w:t>
      </w:r>
      <w:r>
        <w:t xml:space="preserve">The turbulent wind was represented by one realization, and no experimental or hardware-in-the-loop (HIL)</w:t>
      </w:r>
      <w:r>
        <w:t xml:space="preserve"> </w:t>
      </w:r>
      <w:r>
        <w:t xml:space="preserve">validation has yet been performed. Moreover, the stability analysis assumes that the current loops are</w:t>
      </w:r>
      <w:r>
        <w:t xml:space="preserve"> </w:t>
      </w:r>
      <w:r>
        <w:t xml:space="preserve">fast with respect to the speed loop. These aspects will be addressed in future studies through a switching</w:t>
      </w:r>
      <w:r>
        <w:t xml:space="preserve"> </w:t>
      </w:r>
      <w:r>
        <w:t xml:space="preserve">model with an</w:t>
      </w:r>
      <w:r>
        <w:t xml:space="preserve"> </w:t>
      </w:r>
      <m:oMath>
        <m:r>
          <m:t>L</m:t>
        </m:r>
        <m:r>
          <m:t>C</m:t>
        </m:r>
        <m:r>
          <m:t>L</m:t>
        </m:r>
      </m:oMath>
      <w:r>
        <w:t xml:space="preserve"> </w:t>
      </w:r>
      <w:r>
        <w:t xml:space="preserve">filter, the inclusion of the phase-locked loop dynamics, HIL implementation, and</w:t>
      </w:r>
      <w:r>
        <w:t xml:space="preserve"> </w:t>
      </w:r>
      <w:r>
        <w:t xml:space="preserve">comparative evaluations with other control strategies.</w:t>
      </w:r>
    </w:p>
    <w:p>
      <w:pPr>
        <w:pStyle w:val="BodyText"/>
        <w:spacing w:before="240" w:after="40"/>
        <w:ind w:firstLine="0"/>
        <w:jc w:val="both"/>
      </w:pPr>
      <w:r>
        <w:rPr>
          <w:rFonts w:ascii="Times New Roman" w:hAnsi="Times New Roman"/>
          <w:b/>
          <w:bCs/>
          <w:sz w:val="20"/>
        </w:rPr>
        <w:t xml:space="preserve">Author Contributions: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Conceptualization, M.M. and K.K.; Methodology, S.R.;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Validation, S.R. and K.K.; Investigation, S.R.; Writing—original draft, S.R., M.M. and K.K.;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Supervision, M.M. and K.K.; Project administration, M.M. and K.K. All authors have read and agreed to the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published version of the manuscript.</w:t>
      </w:r>
    </w:p>
    <w:p>
      <w:pPr>
        <w:pStyle w:val="BodyText"/>
        <w:spacing w:before="0" w:after="40"/>
        <w:ind w:firstLine="0"/>
        <w:jc w:val="both"/>
      </w:pPr>
      <w:r>
        <w:rPr>
          <w:rFonts w:ascii="Times New Roman" w:hAnsi="Times New Roman"/>
          <w:b/>
          <w:bCs/>
          <w:sz w:val="20"/>
        </w:rPr>
        <w:t xml:space="preserve">Funding: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This research received no external funding.</w:t>
      </w:r>
    </w:p>
    <w:p>
      <w:pPr>
        <w:pStyle w:val="BodyText"/>
        <w:spacing w:before="0" w:after="40"/>
        <w:ind w:firstLine="0"/>
        <w:jc w:val="both"/>
      </w:pPr>
      <w:r>
        <w:rPr>
          <w:rFonts w:ascii="Times New Roman" w:hAnsi="Times New Roman"/>
          <w:b/>
          <w:bCs/>
          <w:sz w:val="20"/>
        </w:rPr>
        <w:t xml:space="preserve">Data Availability Statement: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The original contributions presented in this study are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included in the article. Further inquiries can be directed to the corresponding author.</w:t>
      </w:r>
    </w:p>
    <w:p>
      <w:pPr>
        <w:pStyle w:val="BodyText"/>
        <w:spacing w:before="0" w:after="40"/>
        <w:ind w:firstLine="0"/>
        <w:jc w:val="both"/>
      </w:pPr>
      <w:r>
        <w:rPr>
          <w:rFonts w:ascii="Times New Roman" w:hAnsi="Times New Roman"/>
          <w:b/>
          <w:bCs/>
          <w:sz w:val="20"/>
        </w:rPr>
        <w:t xml:space="preserve">Conflicts of Interest: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The authors declare no conflicts of interest.</w:t>
      </w:r>
    </w:p>
    <w:bookmarkEnd w:id="43"/>
    <w:bookmarkStart w:id="44" w:name="references"/>
    <w:p>
      <w:pPr>
        <w:pStyle w:val="Heading1"/>
      </w:pPr>
      <w:r>
        <w:t xml:space="preserve">References</w:t>
      </w:r>
    </w:p>
    <w:p>
      <w:pPr>
        <w:pStyle w:val="FirstParagraph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[1] Barthelmie, R.J.; Pryor, S.C. Climate Change Mitigation Potential of Wind Energy.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Climate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2021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9</w:t>
      </w:r>
      <w:r>
        <w:rPr>
          <w:rFonts w:ascii="Times New Roman" w:hAnsi="Times New Roman"/>
          <w:sz w:val="20"/>
        </w:rPr>
        <w:t xml:space="preserve">, 136. https://doi.org/10.3390/cli9090136.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[2] International Energy Agency (IEA).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World Energy Outlook 2024</w:t>
      </w:r>
      <w:r>
        <w:rPr>
          <w:rFonts w:ascii="Times New Roman" w:hAnsi="Times New Roman"/>
          <w:sz w:val="20"/>
        </w:rPr>
        <w:t xml:space="preserve">; IEA: Paris, France, 2024.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[3] Global Wind Energy Council (GWEC).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Global Wind Report 2024</w:t>
      </w:r>
      <w:r>
        <w:rPr>
          <w:rFonts w:ascii="Times New Roman" w:hAnsi="Times New Roman"/>
          <w:sz w:val="20"/>
        </w:rPr>
        <w:t xml:space="preserve">; GWEC: Brussels, Belgium, 2024.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[4] Polinder, H.; Ferreira, J.A.; Jensen, B.B.; Abrahamsen, A.B.; Atallah, K.; McMahon, R.A. Trends in Wind Turbine Generator Systems.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IEEE J. Emerg. Sel. Top. Power Electron.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2013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1</w:t>
      </w:r>
      <w:r>
        <w:rPr>
          <w:rFonts w:ascii="Times New Roman" w:hAnsi="Times New Roman"/>
          <w:sz w:val="20"/>
        </w:rPr>
        <w:t xml:space="preserve">, 174–185.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[5] Yaramasu, V.; Wu, B.; Sen, P.C.; Kouro, S.; Narimani, M. High-Power Wind Energy Conversion Systems: State-of-the-Art and Emerging Technologies.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Proc. IEEE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2015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103</w:t>
      </w:r>
      <w:r>
        <w:rPr>
          <w:rFonts w:ascii="Times New Roman" w:hAnsi="Times New Roman"/>
          <w:sz w:val="20"/>
        </w:rPr>
        <w:t xml:space="preserve">, 740–788.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[6] Wu, B.; Lang, Y.; Zargari, N.; Kouro, 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Power Conversion and Control of Wind Energy Systems</w:t>
      </w:r>
      <w:r>
        <w:rPr>
          <w:rFonts w:ascii="Times New Roman" w:hAnsi="Times New Roman"/>
          <w:sz w:val="20"/>
        </w:rPr>
        <w:t xml:space="preserve">; Wiley-IEEE Press: Hoboken, NJ, USA, 2011.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[7] Rolán, A.; Luna, A.; Vázquez, G.; Aguilar, D.; Azevedo, G. Modeling of a Variable Speed Wind Turbine with a Permanent Magnet Synchronous Generator. In Proceedings of the IEEE International Symposium on Industrial Electronics (ISIE), Seoul, Republic of Korea, 2009; pp. 734–739. https://doi.org/10.1109/ISIE.2009.5218120.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[8] Hasan, S.M.M.; Shatil, A.H.M. Design and Comparison of Grid Connected Permanent Magnet Synchronous Generator Non-Salient Pole and Salient Pole Rotor Wind Turbine.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AIUB J. Sci. Eng.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2021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20</w:t>
      </w:r>
      <w:r>
        <w:rPr>
          <w:rFonts w:ascii="Times New Roman" w:hAnsi="Times New Roman"/>
          <w:sz w:val="20"/>
        </w:rPr>
        <w:t xml:space="preserve">, 40–46.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[9] Chinchilla, M.; Arnaltes, S.; Burgos, J.C. Control of Permanent-Magnet Generators Applied to Variable-Speed Wind-Energy Systems Connected to the Grid.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IEEE Trans. Energy Convers.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2006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21</w:t>
      </w:r>
      <w:r>
        <w:rPr>
          <w:rFonts w:ascii="Times New Roman" w:hAnsi="Times New Roman"/>
          <w:sz w:val="20"/>
        </w:rPr>
        <w:t xml:space="preserve">, 130–135.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[10] Yazdani, A.; Iravani, R.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Voltage-Sourced Converters in Power Systems: Modeling, Control, and Applications</w:t>
      </w:r>
      <w:r>
        <w:rPr>
          <w:rFonts w:ascii="Times New Roman" w:hAnsi="Times New Roman"/>
          <w:sz w:val="20"/>
        </w:rPr>
        <w:t xml:space="preserve">; Wiley-IEEE Press: Hoboken, NJ, USA, 2010.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[11] Blaabjerg, F.; Teodorescu, R.; Liserre, M.; Timbus, A.V. Overview of Control and Grid Synchronization for Distributed Power Generation Systems.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IEEE Trans. Ind. Electron.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2006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53</w:t>
      </w:r>
      <w:r>
        <w:rPr>
          <w:rFonts w:ascii="Times New Roman" w:hAnsi="Times New Roman"/>
          <w:sz w:val="20"/>
        </w:rPr>
        <w:t xml:space="preserve">, 1398–1409.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[12] Mechter, A.; Kemih, K.; Ghanes, M. Sliding Mode Control of a Wind Turbine with Exponential Reaching Law.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Acta Polytech. Hung.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2015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12</w:t>
      </w:r>
      <w:r>
        <w:rPr>
          <w:rFonts w:ascii="Times New Roman" w:hAnsi="Times New Roman"/>
          <w:sz w:val="20"/>
        </w:rPr>
        <w:t xml:space="preserve">, 167–183.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[13] Mechter, A.; Kemih, K.; Ghanes, M. Backstepping Control of a Wind Turbine for Low Wind Speeds.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Nonlinear Dyn.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2016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84</w:t>
      </w:r>
      <w:r>
        <w:rPr>
          <w:rFonts w:ascii="Times New Roman" w:hAnsi="Times New Roman"/>
          <w:sz w:val="20"/>
        </w:rPr>
        <w:t xml:space="preserve">, 2435–2445. https://doi.org/10.1007/s11071-016-2655-y.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[14] Messadi, M.; Mellit, A.; Kemih, K.; Ghanes, M. Predictive Control of a Chaotic Permanent Magnet Synchronous Generator in a Wind Turbine System.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Chin. Phys. B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2015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24</w:t>
      </w:r>
      <w:r>
        <w:rPr>
          <w:rFonts w:ascii="Times New Roman" w:hAnsi="Times New Roman"/>
          <w:sz w:val="20"/>
        </w:rPr>
        <w:t xml:space="preserve">, 010502.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[15] Yang, L.; Yang, F.; Sheng, W.; Zhou, K.; Huang, T. Fuzzy Chaos Control of Fractional Order D-PMSG for Wind Turbine with Uncertain Parameters by State Feedback Design.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Energies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2021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14</w:t>
      </w:r>
      <w:r>
        <w:rPr>
          <w:rFonts w:ascii="Times New Roman" w:hAnsi="Times New Roman"/>
          <w:sz w:val="20"/>
        </w:rPr>
        <w:t xml:space="preserve">, 7369.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[16] Benabdeeseelam, A.; Messadi, M.; Kemih, K.; Hamiche, H. Chattering-Free Terminal Sliding Mode Control Based on Adaptive Exponential Reaching Barrier Function for a Chaotic Permanent Magnet Synchronous Generator in Offshore Wind Turbine System.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Chin. Phys. B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2025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34</w:t>
      </w:r>
      <w:r>
        <w:rPr>
          <w:rFonts w:ascii="Times New Roman" w:hAnsi="Times New Roman"/>
          <w:sz w:val="20"/>
        </w:rPr>
        <w:t xml:space="preserve">, 090501.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[17] Fliess, M.; Lévine, J.; Martin, P.; Rouchon, P. Flatness and Defect of Non-Linear Systems: Introductory Theory and Examples.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Int. J. Control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1995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61</w:t>
      </w:r>
      <w:r>
        <w:rPr>
          <w:rFonts w:ascii="Times New Roman" w:hAnsi="Times New Roman"/>
          <w:sz w:val="20"/>
        </w:rPr>
        <w:t xml:space="preserve">, 1327–1361.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[18] Aimene, M.; Payman, A.; Dakyo, B. Comparative Study between Flatness-Based and Field-Oriented Control Methods of a Grid-Connected Wind Energy Conversion System.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Processes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2022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10</w:t>
      </w:r>
      <w:r>
        <w:rPr>
          <w:rFonts w:ascii="Times New Roman" w:hAnsi="Times New Roman"/>
          <w:sz w:val="20"/>
        </w:rPr>
        <w:t xml:space="preserve">, 378. https://doi.org/10.3390/pr10020378.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[19] Thounthong, P.; Pierfederici, S.; Davat, B. Analysis of Differential Flatness-Based Control for a Fuel Cell Hybrid Power Source.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IEEE Trans. Energy Convers.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2010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25</w:t>
      </w:r>
      <w:r>
        <w:rPr>
          <w:rFonts w:ascii="Times New Roman" w:hAnsi="Times New Roman"/>
          <w:sz w:val="20"/>
        </w:rPr>
        <w:t xml:space="preserve">, 909–920.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[20] Ortega, R.; Loría, A.; Nicklasson, P.J.; Sira-Ramírez, H.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Passivity-Based Control of Euler-Lagrange Systems</w:t>
      </w:r>
      <w:r>
        <w:rPr>
          <w:rFonts w:ascii="Times New Roman" w:hAnsi="Times New Roman"/>
          <w:sz w:val="20"/>
        </w:rPr>
        <w:t xml:space="preserve">; Springer: London, UK, 1998.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[21] Ortega, R.; van der Schaft, A.; Maschke, B.; Escobar, G. Interconnection and Damping Assignment Passivity-Based Control of Port-Controlled Hamiltonian Systems.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Automatica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2002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38</w:t>
      </w:r>
      <w:r>
        <w:rPr>
          <w:rFonts w:ascii="Times New Roman" w:hAnsi="Times New Roman"/>
          <w:sz w:val="20"/>
        </w:rPr>
        <w:t xml:space="preserve">, 585–596.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[22] Park, J.; Sandberg, I.W. Universal Approximation Using Radial-Basis-Function Networks.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Neural Comput.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1991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3</w:t>
      </w:r>
      <w:r>
        <w:rPr>
          <w:rFonts w:ascii="Times New Roman" w:hAnsi="Times New Roman"/>
          <w:sz w:val="20"/>
        </w:rPr>
        <w:t xml:space="preserve">, 246–257.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[23] Lewis, F.L.; Jagannathan, S.; Yeşildirek, A.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Neural Network Control of Robot Manipulators and Nonlinear Systems</w:t>
      </w:r>
      <w:r>
        <w:rPr>
          <w:rFonts w:ascii="Times New Roman" w:hAnsi="Times New Roman"/>
          <w:sz w:val="20"/>
        </w:rPr>
        <w:t xml:space="preserve">; Taylor &amp; Francis: London, UK, 1999.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[24] Li, Y.; Sun, W.; Yu, D. RBFNN-Based Global Fast Terminal Sliding Mode Control for Fully Controlled Doubly Fed Induction Generator.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J. Frankl. Inst.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2024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361</w:t>
      </w:r>
      <w:r>
        <w:rPr>
          <w:rFonts w:ascii="Times New Roman" w:hAnsi="Times New Roman"/>
          <w:sz w:val="20"/>
        </w:rPr>
        <w:t xml:space="preserve">, 107196. https://doi.org/10.1016/j.jfranklin.2024.107196.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[25] Dardabi, C.; Djebli, A.; Chojaa, H. Enhancing the Control of Doubly Fed Induction Generators Using Artificial Neural Networks in the Presence of Real Wind Profiles.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PLoS ONE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2024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19</w:t>
      </w:r>
      <w:r>
        <w:rPr>
          <w:rFonts w:ascii="Times New Roman" w:hAnsi="Times New Roman"/>
          <w:sz w:val="20"/>
        </w:rPr>
        <w:t xml:space="preserve">, e0300527. https://doi.org/10.1371/journal.pone.0300527.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[26] Bounar, N.; Boulkroune, A.; Labdai, S.; Chrifi-Alaoui, L.; Khebbache, H. Disturbance Observer-Based Finite-Time Adaptive Neural Control Scheme of DFIG-Wind Turbine.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Wind Eng.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2025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49</w:t>
      </w:r>
      <w:r>
        <w:rPr>
          <w:rFonts w:ascii="Times New Roman" w:hAnsi="Times New Roman"/>
          <w:sz w:val="20"/>
        </w:rPr>
        <w:t xml:space="preserve">, 271–289. https://doi.org/10.1177/0309524X241263517.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[27] Regani, S.; Messadi, M.; Kemih, K. A Novel Chaos Control Approach with Adaptive ANN Compensation for a DFIG-Based Wind Turbine.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Mathematics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b/>
          <w:bCs/>
          <w:sz w:val="20"/>
        </w:rPr>
        <w:t xml:space="preserve">2026</w:t>
      </w:r>
      <w:r>
        <w:rPr>
          <w:rFonts w:ascii="Times New Roman" w:hAnsi="Times New Roman"/>
          <w:sz w:val="20"/>
        </w:rPr>
        <w:t xml:space="preserve">,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14</w:t>
      </w:r>
      <w:r>
        <w:rPr>
          <w:rFonts w:ascii="Times New Roman" w:hAnsi="Times New Roman"/>
          <w:sz w:val="20"/>
        </w:rPr>
        <w:t xml:space="preserve">, 3739. https://doi.org/10.3390/math14203739.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[28] Heier, S.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Grid Integration of Wind Energy: Onshore and Offshore Conversion Systems</w:t>
      </w:r>
      <w:r>
        <w:rPr>
          <w:rFonts w:ascii="Times New Roman" w:hAnsi="Times New Roman"/>
          <w:sz w:val="20"/>
        </w:rPr>
        <w:t xml:space="preserve">, 3rd ed.; Wiley: Chichester, UK, 2014.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[29] Khalil, H.K.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Nonlinear Systems</w:t>
      </w:r>
      <w:r>
        <w:rPr>
          <w:rFonts w:ascii="Times New Roman" w:hAnsi="Times New Roman"/>
          <w:sz w:val="20"/>
        </w:rPr>
        <w:t xml:space="preserve">, 3rd ed.; Prentice Hall: Upper Saddle River, NJ, USA, 2002.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[30] Ioannou, P.A.; Sun, J.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Robust Adaptive Control</w:t>
      </w:r>
      <w:r>
        <w:rPr>
          <w:rFonts w:ascii="Times New Roman" w:hAnsi="Times New Roman"/>
          <w:sz w:val="20"/>
        </w:rPr>
        <w:t xml:space="preserve">; Prentice Hall: Upper Saddle River, NJ, USA, 1996.</w:t>
      </w:r>
    </w:p>
    <w:p>
      <w:pPr>
        <w:pStyle w:val="BodyText"/>
        <w:spacing w:before="0" w:after="40"/>
        <w:ind w:left="454" w:hanging="454"/>
        <w:jc w:val="both"/>
      </w:pPr>
      <w:r>
        <w:rPr>
          <w:rFonts w:ascii="Times New Roman" w:hAnsi="Times New Roman"/>
          <w:sz w:val="20"/>
        </w:rPr>
        <w:t xml:space="preserve">[31]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i/>
          <w:iCs/>
          <w:sz w:val="20"/>
        </w:rPr>
        <w:t xml:space="preserve">IEEE Std 519-2014</w:t>
      </w:r>
      <w:r>
        <w:rPr>
          <w:rFonts w:ascii="Times New Roman" w:hAnsi="Times New Roman"/>
          <w:sz w:val="20"/>
        </w:rPr>
        <w:t xml:space="preserve">; IEEE Recommended Practice and Requirements for Harmonic Control in Electric Power Systems. IEEE: New York, NY, USA, 2014.</w:t>
      </w:r>
    </w:p>
    <w:bookmarkEnd w:id="44"/>
    <w:sectPr>
      <w:footerReference w:type="default" r:id="rId9"/>
      <w:pgSz w:w="11906" w:h="16838"/>
      <w:pgMar w:left="1417" w:right="1417" w:top="1417" w:bottom="1417" w:footer="737" w:head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40" w:lineRule="auto" w:before="0" w:after="60"/>
      <w:jc w:val="both"/>
    </w:pPr>
    <w:rPr>
      <w:rFonts w:ascii="Times New Roman" w:hAnsi="Times New Roman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60" w:before="0" w:line="240" w:lineRule="auto"/>
      <w:ind w:firstLine="283"/>
      <w:jc w:val="both"/>
    </w:pPr>
    <w:rPr>
      <w:rFonts w:ascii="Times New Roman" w:hAnsi="Times New Roman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240" w:lineRule="auto" w:before="0" w:after="60"/>
      <w:ind w:firstLine="0"/>
      <w:jc w:val="both"/>
    </w:pPr>
    <w:rPr>
      <w:rFonts w:ascii="Times New Roman" w:hAnsi="Times New Roman"/>
      <w:color w:val="000000"/>
      <w:sz w:val="22"/>
    </w:rPr>
  </w:style>
  <w:style w:customStyle="1" w:styleId="Compact" w:type="paragraph">
    <w:name w:val="Compact"/>
    <w:basedOn w:val="BodyText"/>
    <w:qFormat/>
    <w:pPr>
      <w:spacing w:after="40" w:before="0" w:line="240" w:lineRule="auto"/>
      <w:jc w:val="both"/>
    </w:pPr>
    <w:rPr>
      <w:rFonts w:ascii="Times New Roman" w:hAnsi="Times New Roman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240" w:lineRule="auto"/>
      <w:jc w:val="center"/>
    </w:pPr>
    <w:rPr>
      <w:rFonts w:ascii="Times New Roman" w:hAnsi="Times New Roman" w:cs="Times New Roman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240" w:lineRule="auto"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 w:line="240" w:lineRule="auto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 w:line="240" w:lineRule="auto"/>
      <w:jc w:val="left"/>
      <w:outlineLvl w:val="0"/>
    </w:pPr>
    <w:rPr>
      <w:rFonts w:ascii="Times New Roman" w:hAnsi="Times New Roman" w:cs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00" w:line="240" w:lineRule="auto"/>
      <w:jc w:val="left"/>
      <w:outlineLvl w:val="1"/>
    </w:pPr>
    <w:rPr>
      <w:rFonts w:ascii="Times New Roman" w:hAnsi="Times New Roman" w:cs="Times New Roman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 w:line="240" w:lineRule="auto"/>
      <w:outlineLvl w:val="2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240" w:lineRule="auto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  <w:spacing w:line="240" w:lineRule="auto"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pPr>
      <w:spacing w:line="240" w:lineRule="auto"/>
    </w:pPr>
    <w:rPr>
      <w:rFonts w:ascii="Times New Roman" w:hAnsi="Times New Roman"/>
      <w:color w:val="00000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cs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2026-10-16T14:25:07Z</dcterms:created>
  <dcterms:modified xsi:type="dcterms:W3CDTF">2026-10-16T14:25:07Z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