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INTERNAL AUDIT REPORT</w:t>
      </w:r>
    </w:p>
    <w:p>
      <w:pPr>
        <w:jc w:val="center"/>
      </w:pPr>
      <w:r>
        <w:rPr>
          <w:b/>
        </w:rPr>
        <w:t>Q1 2026 — Accounts Payable &amp; Procurement Controls</w:t>
      </w:r>
    </w:p>
    <w:p/>
    <w:tbl>
      <w:tblPr>
        <w:tblStyle w:val="TableGrid"/>
        <w:tblW w:type="auto" w:w="0"/>
        <w:tblLook w:firstColumn="1" w:firstRow="1" w:lastColumn="0" w:lastRow="0" w:noHBand="0" w:noVBand="1" w:val="04A0"/>
      </w:tblPr>
      <w:tblGrid>
        <w:gridCol w:w="4320"/>
        <w:gridCol w:w="4320"/>
      </w:tblGrid>
      <w:tr>
        <w:tc>
          <w:tcPr>
            <w:tcW w:type="dxa" w:w="4320"/>
          </w:tcPr>
          <w:p>
            <w:r>
              <w:rPr>
                <w:b/>
              </w:rPr>
              <w:t>Report Reference:</w:t>
            </w:r>
          </w:p>
        </w:tc>
        <w:tc>
          <w:tcPr>
            <w:tcW w:type="dxa" w:w="4320"/>
          </w:tcPr>
          <w:p>
            <w:r>
              <w:t>AUDIT-2026-AP-Q1</w:t>
            </w:r>
          </w:p>
        </w:tc>
      </w:tr>
      <w:tr>
        <w:tc>
          <w:tcPr>
            <w:tcW w:type="dxa" w:w="4320"/>
          </w:tcPr>
          <w:p>
            <w:r>
              <w:rPr>
                <w:b/>
              </w:rPr>
              <w:t>Audit Period:</w:t>
            </w:r>
          </w:p>
        </w:tc>
        <w:tc>
          <w:tcPr>
            <w:tcW w:type="dxa" w:w="4320"/>
          </w:tcPr>
          <w:p>
            <w:r>
              <w:t>1 January 2026 – 31 March 2026</w:t>
            </w:r>
          </w:p>
        </w:tc>
      </w:tr>
      <w:tr>
        <w:tc>
          <w:tcPr>
            <w:tcW w:type="dxa" w:w="4320"/>
          </w:tcPr>
          <w:p>
            <w:r>
              <w:rPr>
                <w:b/>
              </w:rPr>
              <w:t>Report Date:</w:t>
            </w:r>
          </w:p>
        </w:tc>
        <w:tc>
          <w:tcPr>
            <w:tcW w:type="dxa" w:w="4320"/>
          </w:tcPr>
          <w:p>
            <w:r>
              <w:t>15 April 2026</w:t>
            </w:r>
          </w:p>
        </w:tc>
      </w:tr>
      <w:tr>
        <w:tc>
          <w:tcPr>
            <w:tcW w:type="dxa" w:w="4320"/>
          </w:tcPr>
          <w:p>
            <w:r>
              <w:rPr>
                <w:b/>
              </w:rPr>
              <w:t>Prepared by:</w:t>
            </w:r>
          </w:p>
        </w:tc>
        <w:tc>
          <w:tcPr>
            <w:tcW w:type="dxa" w:w="4320"/>
          </w:tcPr>
          <w:p>
            <w:r>
              <w:t>Silje Thorvaldsen, Internal Auditor</w:t>
            </w:r>
          </w:p>
        </w:tc>
      </w:tr>
      <w:tr>
        <w:tc>
          <w:tcPr>
            <w:tcW w:type="dxa" w:w="4320"/>
          </w:tcPr>
          <w:p>
            <w:r>
              <w:rPr>
                <w:b/>
              </w:rPr>
              <w:t>Reviewed by:</w:t>
            </w:r>
          </w:p>
        </w:tc>
        <w:tc>
          <w:tcPr>
            <w:tcW w:type="dxa" w:w="4320"/>
          </w:tcPr>
          <w:p>
            <w:r>
              <w:t>Håkon Mikkelsen, Head of Internal Audit</w:t>
            </w:r>
          </w:p>
        </w:tc>
      </w:tr>
      <w:tr>
        <w:tc>
          <w:tcPr>
            <w:tcW w:type="dxa" w:w="4320"/>
          </w:tcPr>
          <w:p>
            <w:r>
              <w:rPr>
                <w:b/>
              </w:rPr>
              <w:t>Distribution:</w:t>
            </w:r>
          </w:p>
        </w:tc>
        <w:tc>
          <w:tcPr>
            <w:tcW w:type="dxa" w:w="4320"/>
          </w:tcPr>
          <w:p>
            <w:r>
              <w:t>CFO, CEO, Audit Committee, Board of Directors</w:t>
            </w:r>
          </w:p>
        </w:tc>
      </w:tr>
    </w:tbl>
    <w:p/>
    <w:p>
      <w:pPr>
        <w:pStyle w:val="Heading1"/>
      </w:pPr>
      <w:r>
        <w:t>Executive Summary</w:t>
      </w:r>
    </w:p>
    <w:p>
      <w:r>
        <w:t>This report presents the findings of the Q1 2026 internal audit of Allergo Nordic AS's Accounts Payable (AP) and Procurement Controls function. The audit was conducted in accordance with the International Standards for the Professional Practice of Internal Auditing (IPPF) and Allergo Nordic's Internal Audit Charter.</w:t>
      </w:r>
    </w:p>
    <w:p>
      <w:r>
        <w:t>Overall, the AP function demonstrates satisfactory controls in vendor onboarding and three-way matching. However, the audit identified three findings requiring management attention — one rated HIGH risk, one MEDIUM, and one LOW.</w:t>
      </w:r>
    </w:p>
    <w:p>
      <w:pPr>
        <w:pStyle w:val="Heading1"/>
      </w:pPr>
      <w:r>
        <w:t>Audit Scope and Objectives</w:t>
      </w:r>
    </w:p>
    <w:p>
      <w:pPr>
        <w:pStyle w:val="ListBullet"/>
      </w:pPr>
      <w:r>
        <w:t>Assess the design and operating effectiveness of AP controls for Q1 2026.</w:t>
      </w:r>
    </w:p>
    <w:p>
      <w:pPr>
        <w:pStyle w:val="ListBullet"/>
      </w:pPr>
      <w:r>
        <w:t>Verify compliance with the Procurement Policy (v3.2, approved October 2025).</w:t>
      </w:r>
    </w:p>
    <w:p>
      <w:pPr>
        <w:pStyle w:val="ListBullet"/>
      </w:pPr>
      <w:r>
        <w:t>Evaluate segregation of duties in the purchase-to-pay (P2P) cycle.</w:t>
      </w:r>
    </w:p>
    <w:p>
      <w:pPr>
        <w:pStyle w:val="ListBullet"/>
      </w:pPr>
      <w:r>
        <w:t>Review vendor payment terms compliance and on-time payment metrics.</w:t>
      </w:r>
    </w:p>
    <w:p>
      <w:pPr>
        <w:pStyle w:val="ListBullet"/>
      </w:pPr>
      <w:r>
        <w:t>Test a sample of 45 invoices (NOK value &gt; 50,000) for proper authorisation.</w:t>
      </w:r>
    </w:p>
    <w:p>
      <w:pPr>
        <w:pStyle w:val="Heading1"/>
      </w:pPr>
      <w:r>
        <w:t>Key Statistics</w:t>
      </w:r>
    </w:p>
    <w:tbl>
      <w:tblPr>
        <w:tblStyle w:val="TableGrid"/>
        <w:tblW w:type="auto" w:w="0"/>
        <w:tblLook w:firstColumn="1" w:firstRow="1" w:lastColumn="0" w:lastRow="0" w:noHBand="0" w:noVBand="1" w:val="04A0"/>
      </w:tblPr>
      <w:tblGrid>
        <w:gridCol w:w="4320"/>
        <w:gridCol w:w="4320"/>
      </w:tblGrid>
      <w:tr>
        <w:tc>
          <w:tcPr>
            <w:tcW w:type="dxa" w:w="4320"/>
          </w:tcPr>
          <w:p>
            <w:r>
              <w:rPr>
                <w:b/>
              </w:rPr>
              <w:t>Total invoices processed (Q1):</w:t>
            </w:r>
          </w:p>
        </w:tc>
        <w:tc>
          <w:tcPr>
            <w:tcW w:type="dxa" w:w="4320"/>
          </w:tcPr>
          <w:p>
            <w:r>
              <w:t>1,847</w:t>
            </w:r>
          </w:p>
        </w:tc>
      </w:tr>
      <w:tr>
        <w:tc>
          <w:tcPr>
            <w:tcW w:type="dxa" w:w="4320"/>
          </w:tcPr>
          <w:p>
            <w:r>
              <w:rPr>
                <w:b/>
              </w:rPr>
              <w:t>Total AP spend (Q1):</w:t>
            </w:r>
          </w:p>
        </w:tc>
        <w:tc>
          <w:tcPr>
            <w:tcW w:type="dxa" w:w="4320"/>
          </w:tcPr>
          <w:p>
            <w:r>
              <w:t>NOK 34,218,440</w:t>
            </w:r>
          </w:p>
        </w:tc>
      </w:tr>
      <w:tr>
        <w:tc>
          <w:tcPr>
            <w:tcW w:type="dxa" w:w="4320"/>
          </w:tcPr>
          <w:p>
            <w:r>
              <w:rPr>
                <w:b/>
              </w:rPr>
              <w:t>Invoices sampled:</w:t>
            </w:r>
          </w:p>
        </w:tc>
        <w:tc>
          <w:tcPr>
            <w:tcW w:type="dxa" w:w="4320"/>
          </w:tcPr>
          <w:p>
            <w:r>
              <w:t>45 (NOK value &gt; 50k)</w:t>
            </w:r>
          </w:p>
        </w:tc>
      </w:tr>
      <w:tr>
        <w:tc>
          <w:tcPr>
            <w:tcW w:type="dxa" w:w="4320"/>
          </w:tcPr>
          <w:p>
            <w:r>
              <w:rPr>
                <w:b/>
              </w:rPr>
              <w:t>Invoices with exceptions:</w:t>
            </w:r>
          </w:p>
        </w:tc>
        <w:tc>
          <w:tcPr>
            <w:tcW w:type="dxa" w:w="4320"/>
          </w:tcPr>
          <w:p>
            <w:r>
              <w:t>6 (13.3% of sample)</w:t>
            </w:r>
          </w:p>
        </w:tc>
      </w:tr>
      <w:tr>
        <w:tc>
          <w:tcPr>
            <w:tcW w:type="dxa" w:w="4320"/>
          </w:tcPr>
          <w:p>
            <w:r>
              <w:rPr>
                <w:b/>
              </w:rPr>
              <w:t>Average payment cycle:</w:t>
            </w:r>
          </w:p>
        </w:tc>
        <w:tc>
          <w:tcPr>
            <w:tcW w:type="dxa" w:w="4320"/>
          </w:tcPr>
          <w:p>
            <w:r>
              <w:t>28.4 days</w:t>
            </w:r>
          </w:p>
        </w:tc>
      </w:tr>
      <w:tr>
        <w:tc>
          <w:tcPr>
            <w:tcW w:type="dxa" w:w="4320"/>
          </w:tcPr>
          <w:p>
            <w:r>
              <w:rPr>
                <w:b/>
              </w:rPr>
              <w:t>Overdue invoices (&gt;60 days):</w:t>
            </w:r>
          </w:p>
        </w:tc>
        <w:tc>
          <w:tcPr>
            <w:tcW w:type="dxa" w:w="4320"/>
          </w:tcPr>
          <w:p>
            <w:r>
              <w:t>3 invoices / NOK 487,300</w:t>
            </w:r>
          </w:p>
        </w:tc>
      </w:tr>
      <w:tr>
        <w:tc>
          <w:tcPr>
            <w:tcW w:type="dxa" w:w="4320"/>
          </w:tcPr>
          <w:p/>
        </w:tc>
        <w:tc>
          <w:tcPr>
            <w:tcW w:type="dxa" w:w="4320"/>
          </w:tcPr>
          <w:p/>
        </w:tc>
      </w:tr>
    </w:tbl>
    <w:p/>
    <w:p>
      <w:pPr>
        <w:pStyle w:val="Heading1"/>
      </w:pPr>
      <w:r>
        <w:t>Audit Findings</w:t>
      </w:r>
    </w:p>
    <w:p>
      <w:pPr>
        <w:pStyle w:val="Heading2"/>
      </w:pPr>
      <w:r>
        <w:t>Finding 1 — Dual Approval Bypass (HIGH)</w:t>
      </w:r>
    </w:p>
    <w:tbl>
      <w:tblPr>
        <w:tblStyle w:val="TableGrid"/>
        <w:tblW w:type="auto" w:w="0"/>
        <w:tblLook w:firstColumn="1" w:firstRow="1" w:lastColumn="0" w:lastRow="0" w:noHBand="0" w:noVBand="1" w:val="04A0"/>
      </w:tblPr>
      <w:tblGrid>
        <w:gridCol w:w="4320"/>
        <w:gridCol w:w="4320"/>
      </w:tblGrid>
      <w:tr>
        <w:tc>
          <w:tcPr>
            <w:tcW w:type="dxa" w:w="4320"/>
          </w:tcPr>
          <w:p>
            <w:r>
              <w:rPr>
                <w:b/>
              </w:rPr>
              <w:t>Risk Rating:</w:t>
            </w:r>
          </w:p>
        </w:tc>
        <w:tc>
          <w:tcPr>
            <w:tcW w:type="dxa" w:w="4320"/>
          </w:tcPr>
          <w:p>
            <w:r>
              <w:t>HIGH</w:t>
            </w:r>
          </w:p>
        </w:tc>
      </w:tr>
      <w:tr>
        <w:tc>
          <w:tcPr>
            <w:tcW w:type="dxa" w:w="4320"/>
          </w:tcPr>
          <w:p>
            <w:r>
              <w:rPr>
                <w:b/>
              </w:rPr>
              <w:t>Finding:</w:t>
            </w:r>
          </w:p>
        </w:tc>
        <w:tc>
          <w:tcPr>
            <w:tcW w:type="dxa" w:w="4320"/>
          </w:tcPr>
          <w:p>
            <w:r>
              <w:t>3 invoices totalling NOK 741,500 were approved by a single signatory despite exceeding the NOK 500,000 dual-approval threshold under Procurement Policy §4.2.</w:t>
            </w:r>
          </w:p>
        </w:tc>
      </w:tr>
      <w:tr>
        <w:tc>
          <w:tcPr>
            <w:tcW w:type="dxa" w:w="4320"/>
          </w:tcPr>
          <w:p>
            <w:r>
              <w:rPr>
                <w:b/>
              </w:rPr>
              <w:t>Root Cause:</w:t>
            </w:r>
          </w:p>
        </w:tc>
        <w:tc>
          <w:tcPr>
            <w:tcW w:type="dxa" w:w="4320"/>
          </w:tcPr>
          <w:p>
            <w:r>
              <w:t>The ERP system (Visma Business) approval workflow was mis-configured following the February 2026 system upgrade; the dual-approval rule was inadvertently disabled for 18 days (2–20 February 2026).</w:t>
            </w:r>
          </w:p>
        </w:tc>
      </w:tr>
      <w:tr>
        <w:tc>
          <w:tcPr>
            <w:tcW w:type="dxa" w:w="4320"/>
          </w:tcPr>
          <w:p>
            <w:r>
              <w:rPr>
                <w:b/>
              </w:rPr>
              <w:t>Recommendation:</w:t>
            </w:r>
          </w:p>
        </w:tc>
        <w:tc>
          <w:tcPr>
            <w:tcW w:type="dxa" w:w="4320"/>
          </w:tcPr>
          <w:p>
            <w:r>
              <w:t>1. Immediately re-enable and test the dual-approval workflow in Visma Business.</w:t>
              <w:br/>
              <w:t>2. Perform retrospective review and obtain missing second signatures.</w:t>
              <w:br/>
              <w:t>3. Implement automated workflow regression testing after each system upgrade.</w:t>
              <w:br/>
              <w:t>4. CFO to issue a control attestation by 30 April 2026.</w:t>
            </w:r>
          </w:p>
        </w:tc>
      </w:tr>
    </w:tbl>
    <w:p>
      <w:r>
        <w:rPr>
          <w:b/>
        </w:rPr>
        <w:t xml:space="preserve">Management Response: </w:t>
      </w:r>
      <w:r>
        <w:t>Accepted. IT team has restored dual-approval workflow (effective 14 April 2026). Retrospective sign-off completed for 2 of 3 invoices; third pending CFO travel return. Target completion: 25 April 2026.</w:t>
      </w:r>
    </w:p>
    <w:p/>
    <w:p>
      <w:pPr>
        <w:pStyle w:val="Heading2"/>
      </w:pPr>
      <w:r>
        <w:t>Finding 2 — Vendor Master Data Gaps (MEDIUM)</w:t>
      </w:r>
    </w:p>
    <w:tbl>
      <w:tblPr>
        <w:tblStyle w:val="TableGrid"/>
        <w:tblW w:type="auto" w:w="0"/>
        <w:tblLook w:firstColumn="1" w:firstRow="1" w:lastColumn="0" w:lastRow="0" w:noHBand="0" w:noVBand="1" w:val="04A0"/>
      </w:tblPr>
      <w:tblGrid>
        <w:gridCol w:w="4320"/>
        <w:gridCol w:w="4320"/>
      </w:tblGrid>
      <w:tr>
        <w:tc>
          <w:tcPr>
            <w:tcW w:type="dxa" w:w="4320"/>
          </w:tcPr>
          <w:p>
            <w:r>
              <w:rPr>
                <w:b/>
              </w:rPr>
              <w:t>Risk Rating:</w:t>
            </w:r>
          </w:p>
        </w:tc>
        <w:tc>
          <w:tcPr>
            <w:tcW w:type="dxa" w:w="4320"/>
          </w:tcPr>
          <w:p>
            <w:r>
              <w:t>MEDIUM</w:t>
            </w:r>
          </w:p>
        </w:tc>
      </w:tr>
      <w:tr>
        <w:tc>
          <w:tcPr>
            <w:tcW w:type="dxa" w:w="4320"/>
          </w:tcPr>
          <w:p>
            <w:r>
              <w:rPr>
                <w:b/>
              </w:rPr>
              <w:t>Finding:</w:t>
            </w:r>
          </w:p>
        </w:tc>
        <w:tc>
          <w:tcPr>
            <w:tcW w:type="dxa" w:w="4320"/>
          </w:tcPr>
          <w:p>
            <w:r>
              <w:t>14 active vendors in the Visma vendor master lack a current signed NDA or confidentiality agreement on file, contrary to Vendor Management Policy §2.1.</w:t>
            </w:r>
          </w:p>
        </w:tc>
      </w:tr>
      <w:tr>
        <w:tc>
          <w:tcPr>
            <w:tcW w:type="dxa" w:w="4320"/>
          </w:tcPr>
          <w:p>
            <w:r>
              <w:rPr>
                <w:b/>
              </w:rPr>
              <w:t>Root Cause:</w:t>
            </w:r>
          </w:p>
        </w:tc>
        <w:tc>
          <w:tcPr>
            <w:tcW w:type="dxa" w:w="4320"/>
          </w:tcPr>
          <w:p>
            <w:r>
              <w:t>Vendor onboarding checklist was not consistently applied during Q4 2025 system migration. Documents were requested but not followed up.</w:t>
            </w:r>
          </w:p>
        </w:tc>
      </w:tr>
      <w:tr>
        <w:tc>
          <w:tcPr>
            <w:tcW w:type="dxa" w:w="4320"/>
          </w:tcPr>
          <w:p>
            <w:r>
              <w:rPr>
                <w:b/>
              </w:rPr>
              <w:t>Recommendation:</w:t>
            </w:r>
          </w:p>
        </w:tc>
        <w:tc>
          <w:tcPr>
            <w:tcW w:type="dxa" w:w="4320"/>
          </w:tcPr>
          <w:p>
            <w:r>
              <w:t>Procurement team to issue follow-up requests to all 14 vendors; update vendor master with document expiry tracking. Deadline: 31 May 2026.</w:t>
            </w:r>
          </w:p>
        </w:tc>
      </w:tr>
    </w:tbl>
    <w:p>
      <w:r>
        <w:rPr>
          <w:b/>
        </w:rPr>
        <w:t xml:space="preserve">Management Response: </w:t>
      </w:r>
      <w:r>
        <w:t>Accepted. Procurement Manager to send reminders by 25 April. Escalation to vendor suspension if no response by 31 May 2026.</w:t>
      </w:r>
    </w:p>
    <w:p/>
    <w:p>
      <w:pPr>
        <w:pStyle w:val="Heading2"/>
      </w:pPr>
      <w:r>
        <w:t>Finding 3 — Missing Receipt Attachments (LOW)</w:t>
      </w:r>
    </w:p>
    <w:tbl>
      <w:tblPr>
        <w:tblStyle w:val="TableGrid"/>
        <w:tblW w:type="auto" w:w="0"/>
        <w:tblLook w:firstColumn="1" w:firstRow="1" w:lastColumn="0" w:lastRow="0" w:noHBand="0" w:noVBand="1" w:val="04A0"/>
      </w:tblPr>
      <w:tblGrid>
        <w:gridCol w:w="4320"/>
        <w:gridCol w:w="4320"/>
      </w:tblGrid>
      <w:tr>
        <w:tc>
          <w:tcPr>
            <w:tcW w:type="dxa" w:w="4320"/>
          </w:tcPr>
          <w:p>
            <w:r>
              <w:rPr>
                <w:b/>
              </w:rPr>
              <w:t>Risk Rating:</w:t>
            </w:r>
          </w:p>
        </w:tc>
        <w:tc>
          <w:tcPr>
            <w:tcW w:type="dxa" w:w="4320"/>
          </w:tcPr>
          <w:p>
            <w:r>
              <w:t>LOW</w:t>
            </w:r>
          </w:p>
        </w:tc>
      </w:tr>
      <w:tr>
        <w:tc>
          <w:tcPr>
            <w:tcW w:type="dxa" w:w="4320"/>
          </w:tcPr>
          <w:p>
            <w:r>
              <w:rPr>
                <w:b/>
              </w:rPr>
              <w:t>Finding:</w:t>
            </w:r>
          </w:p>
        </w:tc>
        <w:tc>
          <w:tcPr>
            <w:tcW w:type="dxa" w:w="4320"/>
          </w:tcPr>
          <w:p>
            <w:r>
              <w:t>6 expense claims (total NOK 38,400) submitted via the legacy expense system lacked original receipt images; scanned copies not uploaded.</w:t>
            </w:r>
          </w:p>
        </w:tc>
      </w:tr>
      <w:tr>
        <w:tc>
          <w:tcPr>
            <w:tcW w:type="dxa" w:w="4320"/>
          </w:tcPr>
          <w:p>
            <w:r>
              <w:rPr>
                <w:b/>
              </w:rPr>
              <w:t>Root Cause:</w:t>
            </w:r>
          </w:p>
        </w:tc>
        <w:tc>
          <w:tcPr>
            <w:tcW w:type="dxa" w:w="4320"/>
          </w:tcPr>
          <w:p>
            <w:r>
              <w:t>Employee training on the new Allergo Digital Expense module not completed before go-live (January 2026).</w:t>
            </w:r>
          </w:p>
        </w:tc>
      </w:tr>
      <w:tr>
        <w:tc>
          <w:tcPr>
            <w:tcW w:type="dxa" w:w="4320"/>
          </w:tcPr>
          <w:p>
            <w:r>
              <w:rPr>
                <w:b/>
              </w:rPr>
              <w:t>Recommendation:</w:t>
            </w:r>
          </w:p>
        </w:tc>
        <w:tc>
          <w:tcPr>
            <w:tcW w:type="dxa" w:w="4320"/>
          </w:tcPr>
          <w:p>
            <w:r>
              <w:t>Complete mandatory training for all 87 employees who submit expense claims. Archive legacy claims with available evidence.</w:t>
            </w:r>
          </w:p>
        </w:tc>
      </w:tr>
    </w:tbl>
    <w:p>
      <w:r>
        <w:rPr>
          <w:b/>
        </w:rPr>
        <w:t xml:space="preserve">Management Response: </w:t>
      </w:r>
      <w:r>
        <w:t>Accepted. Training scheduled for 22–24 April 2026. All 87 employees required to complete within 30 days.</w:t>
      </w:r>
    </w:p>
    <w:p/>
    <w:p>
      <w:pPr>
        <w:pStyle w:val="Heading1"/>
      </w:pPr>
      <w:r>
        <w:t>Follow-Up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Risk</w:t>
            </w:r>
          </w:p>
        </w:tc>
        <w:tc>
          <w:tcPr>
            <w:tcW w:type="dxa" w:w="2160"/>
          </w:tcPr>
          <w:p>
            <w:r>
              <w:rPr>
                <w:b/>
              </w:rPr>
              <w:t>Owner</w:t>
            </w:r>
          </w:p>
        </w:tc>
        <w:tc>
          <w:tcPr>
            <w:tcW w:type="dxa" w:w="2160"/>
          </w:tcPr>
          <w:p>
            <w:r>
              <w:rPr>
                <w:b/>
              </w:rPr>
              <w:t>Target Date</w:t>
            </w:r>
          </w:p>
        </w:tc>
      </w:tr>
      <w:tr>
        <w:tc>
          <w:tcPr>
            <w:tcW w:type="dxa" w:w="2160"/>
          </w:tcPr>
          <w:p>
            <w:r>
              <w:t>F1 — Dual Approval Bypass</w:t>
            </w:r>
          </w:p>
        </w:tc>
        <w:tc>
          <w:tcPr>
            <w:tcW w:type="dxa" w:w="2160"/>
          </w:tcPr>
          <w:p>
            <w:r>
              <w:t>HIGH</w:t>
            </w:r>
          </w:p>
        </w:tc>
        <w:tc>
          <w:tcPr>
            <w:tcW w:type="dxa" w:w="2160"/>
          </w:tcPr>
          <w:p>
            <w:r>
              <w:t>Knut Sørensen (CFO)</w:t>
            </w:r>
          </w:p>
        </w:tc>
        <w:tc>
          <w:tcPr>
            <w:tcW w:type="dxa" w:w="2160"/>
          </w:tcPr>
          <w:p>
            <w:r>
              <w:t>25 April 2026</w:t>
            </w:r>
          </w:p>
        </w:tc>
      </w:tr>
      <w:tr>
        <w:tc>
          <w:tcPr>
            <w:tcW w:type="dxa" w:w="2160"/>
          </w:tcPr>
          <w:p>
            <w:r>
              <w:t>F2 — Vendor Master Data Gaps</w:t>
            </w:r>
          </w:p>
        </w:tc>
        <w:tc>
          <w:tcPr>
            <w:tcW w:type="dxa" w:w="2160"/>
          </w:tcPr>
          <w:p>
            <w:r>
              <w:t>MEDIUM</w:t>
            </w:r>
          </w:p>
        </w:tc>
        <w:tc>
          <w:tcPr>
            <w:tcW w:type="dxa" w:w="2160"/>
          </w:tcPr>
          <w:p>
            <w:r>
              <w:t>Ingrid Bakke (Procurement)</w:t>
            </w:r>
          </w:p>
        </w:tc>
        <w:tc>
          <w:tcPr>
            <w:tcW w:type="dxa" w:w="2160"/>
          </w:tcPr>
          <w:p>
            <w:r>
              <w:t>31 May 2026</w:t>
            </w:r>
          </w:p>
        </w:tc>
      </w:tr>
      <w:tr>
        <w:tc>
          <w:tcPr>
            <w:tcW w:type="dxa" w:w="2160"/>
          </w:tcPr>
          <w:p>
            <w:r>
              <w:t>F3 — Expense Receipt Uploads</w:t>
            </w:r>
          </w:p>
        </w:tc>
        <w:tc>
          <w:tcPr>
            <w:tcW w:type="dxa" w:w="2160"/>
          </w:tcPr>
          <w:p>
            <w:r>
              <w:t>LOW</w:t>
            </w:r>
          </w:p>
        </w:tc>
        <w:tc>
          <w:tcPr>
            <w:tcW w:type="dxa" w:w="2160"/>
          </w:tcPr>
          <w:p>
            <w:r>
              <w:t>HR / Line Managers</w:t>
            </w:r>
          </w:p>
        </w:tc>
        <w:tc>
          <w:tcPr>
            <w:tcW w:type="dxa" w:w="2160"/>
          </w:tcPr>
          <w:p>
            <w:r>
              <w:t>22 May 2026</w:t>
            </w:r>
          </w:p>
        </w:tc>
      </w:tr>
    </w:tbl>
    <w:p/>
    <w:p>
      <w:pPr>
        <w:pStyle w:val="Heading1"/>
      </w:pPr>
      <w:r>
        <w:t>Conclusion</w:t>
      </w:r>
    </w:p>
    <w:p>
      <w:r>
        <w:t>The internal audit concludes that Allergo Nordic AS's AP and procurement control environment is substantially effective. The identified findings are being addressed by management with appropriate urgency. Internal Audit will conduct a follow-up review in July 2026 to confirm remediation.</w:t>
      </w:r>
    </w:p>
    <w:p>
      <w:r>
        <w:t>This report has been prepared for the exclusive use of Allergo Nordic AS management and the Audit Committee. It should not be distributed externally without the prior written consent of the Head of Internal 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