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PURCHASE ORDER</w:t>
      </w:r>
    </w:p>
    <w:p>
      <w:pPr>
        <w:pStyle w:val="Heading1"/>
        <w:jc w:val="center"/>
      </w:pPr>
      <w:r>
        <w:t>Allergo Nordic 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 Number:</w:t>
            </w:r>
          </w:p>
        </w:tc>
        <w:tc>
          <w:tcPr>
            <w:tcW w:type="dxa" w:w="2160"/>
          </w:tcPr>
          <w:p>
            <w:r>
              <w:t>PO-2026-0412</w:t>
            </w:r>
          </w:p>
        </w:tc>
        <w:tc>
          <w:tcPr>
            <w:tcW w:type="dxa" w:w="2160"/>
          </w:tcPr>
          <w:p>
            <w:r>
              <w:t>Date Issued:</w:t>
            </w:r>
          </w:p>
        </w:tc>
        <w:tc>
          <w:tcPr>
            <w:tcW w:type="dxa" w:w="2160"/>
          </w:tcPr>
          <w:p>
            <w:r>
              <w:t>2026-04-01</w:t>
            </w:r>
          </w:p>
        </w:tc>
      </w:tr>
      <w:tr>
        <w:tc>
          <w:tcPr>
            <w:tcW w:type="dxa" w:w="2160"/>
          </w:tcPr>
          <w:p>
            <w:r>
              <w:t>Department:</w:t>
            </w:r>
          </w:p>
        </w:tc>
        <w:tc>
          <w:tcPr>
            <w:tcW w:type="dxa" w:w="2160"/>
          </w:tcPr>
          <w:p>
            <w:r>
              <w:t>IT &amp; Cloud Infrastructure</w:t>
            </w:r>
          </w:p>
        </w:tc>
        <w:tc>
          <w:tcPr>
            <w:tcW w:type="dxa" w:w="2160"/>
          </w:tcPr>
          <w:p>
            <w:r>
              <w:t>Fiscal Year:</w:t>
            </w:r>
          </w:p>
        </w:tc>
        <w:tc>
          <w:tcPr>
            <w:tcW w:type="dxa" w:w="2160"/>
          </w:tcPr>
          <w:p>
            <w:r>
              <w:t>2026</w:t>
            </w:r>
          </w:p>
        </w:tc>
      </w:tr>
    </w:tbl>
    <w:p/>
    <w:p>
      <w:pPr>
        <w:pStyle w:val="Heading2"/>
      </w:pPr>
      <w:r>
        <w:t>Vendor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Vendor Name:</w:t>
            </w:r>
          </w:p>
        </w:tc>
        <w:tc>
          <w:tcPr>
            <w:tcW w:type="dxa" w:w="4320"/>
          </w:tcPr>
          <w:p>
            <w:r>
              <w:t>Microsoft Ireland Operations Limited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One Microsoft Place, South County Business Park, Leopardstown, Dublin 18, Ireland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Contact:</w:t>
            </w:r>
          </w:p>
        </w:tc>
        <w:tc>
          <w:tcPr>
            <w:tcW w:type="dxa" w:w="4320"/>
          </w:tcPr>
          <w:p>
            <w:r>
              <w:t>enterprise@microsoft.com | +353 1 706 3117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Enterprise Agreement #:</w:t>
            </w:r>
          </w:p>
        </w:tc>
        <w:tc>
          <w:tcPr>
            <w:tcW w:type="dxa" w:w="4320"/>
          </w:tcPr>
          <w:p>
            <w:r>
              <w:t>EA-7741829-NO</w:t>
            </w:r>
          </w:p>
        </w:tc>
      </w:tr>
    </w:tbl>
    <w:p/>
    <w:p>
      <w:pPr>
        <w:pStyle w:val="Heading2"/>
      </w:pPr>
      <w:r>
        <w:t>Ship To / Bill 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Company:</w:t>
            </w:r>
          </w:p>
        </w:tc>
        <w:tc>
          <w:tcPr>
            <w:tcW w:type="dxa" w:w="4320"/>
          </w:tcPr>
          <w:p>
            <w:r>
              <w:t>Allergo Nordic AS  (Org.nr: 919 345 872)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Drammensveien 114, 0277 Oslo, Norway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Accounts Payable:</w:t>
            </w:r>
          </w:p>
        </w:tc>
        <w:tc>
          <w:tcPr>
            <w:tcW w:type="dxa" w:w="4320"/>
          </w:tcPr>
          <w:p>
            <w:r>
              <w:t>ap@allergo-nordic.no</w:t>
            </w:r>
          </w:p>
        </w:tc>
      </w:tr>
    </w:tbl>
    <w:p/>
    <w:p>
      <w:pPr>
        <w:pStyle w:val="Heading2"/>
      </w:pPr>
      <w:r>
        <w:t>Order Lines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Line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Qty / Unit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Unit Price (NOK)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Total (NOK)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Azure Enterprise Agreement – Compute (12 mo)</w:t>
            </w:r>
          </w:p>
        </w:tc>
        <w:tc>
          <w:tcPr>
            <w:tcW w:type="dxa" w:w="1728"/>
          </w:tcPr>
          <w:p>
            <w:r>
              <w:t>12 months</w:t>
            </w:r>
          </w:p>
        </w:tc>
        <w:tc>
          <w:tcPr>
            <w:tcW w:type="dxa" w:w="1728"/>
          </w:tcPr>
          <w:p>
            <w:r>
              <w:t>42,500.00</w:t>
            </w:r>
          </w:p>
        </w:tc>
        <w:tc>
          <w:tcPr>
            <w:tcW w:type="dxa" w:w="1728"/>
          </w:tcPr>
          <w:p>
            <w:r>
              <w:t>510,000.00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Azure Storage Premium – 50 TB / month</w:t>
            </w:r>
          </w:p>
        </w:tc>
        <w:tc>
          <w:tcPr>
            <w:tcW w:type="dxa" w:w="1728"/>
          </w:tcPr>
          <w:p>
            <w:r>
              <w:t>12 months</w:t>
            </w:r>
          </w:p>
        </w:tc>
        <w:tc>
          <w:tcPr>
            <w:tcW w:type="dxa" w:w="1728"/>
          </w:tcPr>
          <w:p>
            <w:r>
              <w:t>8,200.00</w:t>
            </w:r>
          </w:p>
        </w:tc>
        <w:tc>
          <w:tcPr>
            <w:tcW w:type="dxa" w:w="1728"/>
          </w:tcPr>
          <w:p>
            <w:r>
              <w:t>98,400.00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Azure Active Directory P2 – 250 seats</w:t>
            </w:r>
          </w:p>
        </w:tc>
        <w:tc>
          <w:tcPr>
            <w:tcW w:type="dxa" w:w="1728"/>
          </w:tcPr>
          <w:p>
            <w:r>
              <w:t>12 months</w:t>
            </w:r>
          </w:p>
        </w:tc>
        <w:tc>
          <w:tcPr>
            <w:tcW w:type="dxa" w:w="1728"/>
          </w:tcPr>
          <w:p>
            <w:r>
              <w:t>6,750.00</w:t>
            </w:r>
          </w:p>
        </w:tc>
        <w:tc>
          <w:tcPr>
            <w:tcW w:type="dxa" w:w="1728"/>
          </w:tcPr>
          <w:p>
            <w:r>
              <w:t>81,000.00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Azure Defender for Cloud – Standard</w:t>
            </w:r>
          </w:p>
        </w:tc>
        <w:tc>
          <w:tcPr>
            <w:tcW w:type="dxa" w:w="1728"/>
          </w:tcPr>
          <w:p>
            <w:r>
              <w:t>12 months</w:t>
            </w:r>
          </w:p>
        </w:tc>
        <w:tc>
          <w:tcPr>
            <w:tcW w:type="dxa" w:w="1728"/>
          </w:tcPr>
          <w:p>
            <w:r>
              <w:t>3,900.00</w:t>
            </w:r>
          </w:p>
        </w:tc>
        <w:tc>
          <w:tcPr>
            <w:tcW w:type="dxa" w:w="1728"/>
          </w:tcPr>
          <w:p>
            <w:r>
              <w:t>46,800.00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Azure DevOps – 150 users</w:t>
            </w:r>
          </w:p>
        </w:tc>
        <w:tc>
          <w:tcPr>
            <w:tcW w:type="dxa" w:w="1728"/>
          </w:tcPr>
          <w:p>
            <w:r>
              <w:t>12 months</w:t>
            </w:r>
          </w:p>
        </w:tc>
        <w:tc>
          <w:tcPr>
            <w:tcW w:type="dxa" w:w="1728"/>
          </w:tcPr>
          <w:p>
            <w:r>
              <w:t>2,100.00</w:t>
            </w:r>
          </w:p>
        </w:tc>
        <w:tc>
          <w:tcPr>
            <w:tcW w:type="dxa" w:w="1728"/>
          </w:tcPr>
          <w:p>
            <w:r>
              <w:t>25,200.00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Professional Services – Migration Q2</w:t>
            </w:r>
          </w:p>
        </w:tc>
        <w:tc>
          <w:tcPr>
            <w:tcW w:type="dxa" w:w="1728"/>
          </w:tcPr>
          <w:p>
            <w:r>
              <w:t>1 lump sum</w:t>
            </w:r>
          </w:p>
        </w:tc>
        <w:tc>
          <w:tcPr>
            <w:tcW w:type="dxa" w:w="1728"/>
          </w:tcPr>
          <w:p>
            <w:r>
              <w:t>85,000.00</w:t>
            </w:r>
          </w:p>
        </w:tc>
        <w:tc>
          <w:tcPr>
            <w:tcW w:type="dxa" w:w="1728"/>
          </w:tcPr>
          <w:p>
            <w:r>
              <w:t>85,000.00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Subtotal (ex. VAT):</w:t>
            </w:r>
          </w:p>
        </w:tc>
        <w:tc>
          <w:tcPr>
            <w:tcW w:type="dxa" w:w="4320"/>
          </w:tcPr>
          <w:p>
            <w:r>
              <w:t>NOK 846,400.00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VAT 25%:</w:t>
            </w:r>
          </w:p>
        </w:tc>
        <w:tc>
          <w:tcPr>
            <w:tcW w:type="dxa" w:w="4320"/>
          </w:tcPr>
          <w:p>
            <w:r>
              <w:t>NOK 211,600.00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NOK 1,058,000.00</w:t>
            </w:r>
          </w:p>
        </w:tc>
      </w:tr>
    </w:tbl>
    <w:p/>
    <w:p>
      <w:pPr>
        <w:pStyle w:val="Heading2"/>
      </w:pPr>
      <w:r>
        <w:t>Terms &amp; Conditions</w:t>
      </w:r>
    </w:p>
    <w:p>
      <w:pPr>
        <w:pStyle w:val="ListBullet"/>
      </w:pPr>
      <w:r>
        <w:t>Payment Terms: Net 30 days from invoice date.</w:t>
      </w:r>
    </w:p>
    <w:p>
      <w:pPr>
        <w:pStyle w:val="ListBullet"/>
      </w:pPr>
      <w:r>
        <w:t>Delivery: Services activate upon Microsoft EA confirmation, within 5 business days.</w:t>
      </w:r>
    </w:p>
    <w:p>
      <w:pPr>
        <w:pStyle w:val="ListBullet"/>
      </w:pPr>
      <w:r>
        <w:t>Governing Law: This Purchase Order is governed by the laws of Norway.</w:t>
      </w:r>
    </w:p>
    <w:p>
      <w:pPr>
        <w:pStyle w:val="ListBullet"/>
      </w:pPr>
      <w:r>
        <w:t>Authorised Signatory Required: Orders exceeding NOK 500,000 require CFO co-signature.</w:t>
      </w:r>
    </w:p>
    <w:p>
      <w:pPr>
        <w:pStyle w:val="ListBullet"/>
      </w:pPr>
      <w:r>
        <w:t>PO Validity: This PO is valid for 30 days from issue date.</w:t>
      </w:r>
    </w:p>
    <w:p>
      <w:pPr>
        <w:pStyle w:val="ListBullet"/>
      </w:pPr>
      <w:r>
        <w:t>Budget Reference: OPEX budget line IT-CLOUD-2026, approved in board resolution BRD-2026-03.</w:t>
      </w:r>
    </w:p>
    <w:p/>
    <w:p>
      <w:pPr>
        <w:pStyle w:val="Heading2"/>
      </w:pPr>
      <w:r>
        <w:t>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Signature / Date</w:t>
            </w:r>
          </w:p>
        </w:tc>
      </w:tr>
      <w:tr>
        <w:tc>
          <w:tcPr>
            <w:tcW w:type="dxa" w:w="2880"/>
          </w:tcPr>
          <w:p>
            <w:r>
              <w:t>Procurement Manager</w:t>
            </w:r>
          </w:p>
        </w:tc>
        <w:tc>
          <w:tcPr>
            <w:tcW w:type="dxa" w:w="2880"/>
          </w:tcPr>
          <w:p>
            <w:r>
              <w:t>Ingrid Bakke</w:t>
            </w:r>
          </w:p>
        </w:tc>
        <w:tc>
          <w:tcPr>
            <w:tcW w:type="dxa" w:w="2880"/>
          </w:tcPr>
          <w:p>
            <w:r>
              <w:t>________________________  2026-04-01</w:t>
            </w:r>
          </w:p>
        </w:tc>
      </w:tr>
      <w:tr>
        <w:tc>
          <w:tcPr>
            <w:tcW w:type="dxa" w:w="2880"/>
          </w:tcPr>
          <w:p>
            <w:r>
              <w:t>Chief Financial Officer</w:t>
            </w:r>
          </w:p>
        </w:tc>
        <w:tc>
          <w:tcPr>
            <w:tcW w:type="dxa" w:w="2880"/>
          </w:tcPr>
          <w:p>
            <w:r>
              <w:t>Knut Sørensen</w:t>
            </w:r>
          </w:p>
        </w:tc>
        <w:tc>
          <w:tcPr>
            <w:tcW w:type="dxa" w:w="2880"/>
          </w:tcPr>
          <w:p>
            <w:r>
              <w:t>________________________  2026-04-01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