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VENDOR SOFTWARE AGREEMENT</w:t>
      </w:r>
    </w:p>
    <w:p>
      <w:pPr>
        <w:jc w:val="center"/>
      </w:pPr>
      <w:r>
        <w:rPr>
          <w:b/>
          <w:sz w:val="26"/>
        </w:rPr>
        <w:t>Equinor Technology Solutions AS  ×  Allergo Nordic AS</w:t>
      </w:r>
    </w:p>
    <w:p/>
    <w:p>
      <w:pPr>
        <w:pStyle w:val="Heading1"/>
      </w:pPr>
      <w:r>
        <w:t>Agreement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Agreement Number:</w:t>
            </w:r>
          </w:p>
        </w:tc>
        <w:tc>
          <w:tcPr>
            <w:tcW w:type="dxa" w:w="4320"/>
          </w:tcPr>
          <w:p>
            <w:r>
              <w:t>VSA-2026-EQ-114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4320"/>
          </w:tcPr>
          <w:p>
            <w:r>
              <w:t>1 January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Expiry Date:</w:t>
            </w:r>
          </w:p>
        </w:tc>
        <w:tc>
          <w:tcPr>
            <w:tcW w:type="dxa" w:w="4320"/>
          </w:tcPr>
          <w:p>
            <w:r>
              <w:t>31 December 2028  (3-year term)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Parties:</w:t>
            </w:r>
          </w:p>
        </w:tc>
        <w:tc>
          <w:tcPr>
            <w:tcW w:type="dxa" w:w="4320"/>
          </w:tcPr>
          <w:p>
            <w:r>
              <w:t>Equinor Technology Solutions AS (Vendor) &amp;</w:t>
              <w:br/>
              <w:t>Allergo Nordic AS (Customer)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Contract Value:</w:t>
            </w:r>
          </w:p>
        </w:tc>
        <w:tc>
          <w:tcPr>
            <w:tcW w:type="dxa" w:w="4320"/>
          </w:tcPr>
          <w:p>
            <w:r>
              <w:t>NOK 1,440,000 (total 3 years)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Governing Law:</w:t>
            </w:r>
          </w:p>
        </w:tc>
        <w:tc>
          <w:tcPr>
            <w:tcW w:type="dxa" w:w="4320"/>
          </w:tcPr>
          <w:p>
            <w:r>
              <w:t>Kingdom of Norway</w:t>
            </w:r>
          </w:p>
        </w:tc>
      </w:tr>
    </w:tbl>
    <w:p/>
    <w:p>
      <w:pPr>
        <w:pStyle w:val="Heading1"/>
      </w:pPr>
      <w:r>
        <w:t>1. Parties</w:t>
      </w:r>
    </w:p>
    <w:p>
      <w:r>
        <w:rPr>
          <w:b/>
        </w:rPr>
        <w:t xml:space="preserve">1.1 Vendor: </w:t>
      </w:r>
      <w:r>
        <w:t>Equinor Technology Solutions AS, Org.nr 931 267 800, Forusbeen 50, 4035 Stavanger, Norway.</w:t>
      </w:r>
    </w:p>
    <w:p>
      <w:r>
        <w:rPr>
          <w:b/>
        </w:rPr>
        <w:t xml:space="preserve">1.2 Customer: </w:t>
      </w:r>
      <w:r>
        <w:t>Allergo Nordic AS, Org.nr 919 345 872, Drammensveien 114, 0277 Oslo, Norway.</w:t>
      </w:r>
    </w:p>
    <w:p>
      <w:pPr>
        <w:pStyle w:val="Heading1"/>
      </w:pPr>
      <w:r>
        <w:t>2. Scope of Services</w:t>
      </w:r>
    </w:p>
    <w:p>
      <w:pPr>
        <w:pStyle w:val="ListBullet"/>
      </w:pPr>
      <w:r>
        <w:t>EquinorOps Cloud Platform — SaaS subscription (Enterprise tier, up to 500 named users)</w:t>
      </w:r>
    </w:p>
    <w:p>
      <w:pPr>
        <w:pStyle w:val="ListBullet"/>
      </w:pPr>
      <w:r>
        <w:t>ESG Reporting Module — automated emissions tracking and EU Taxonomy reporting</w:t>
      </w:r>
    </w:p>
    <w:p>
      <w:pPr>
        <w:pStyle w:val="ListBullet"/>
      </w:pPr>
      <w:r>
        <w:t>Supply Chain Analytics add-on — real-time dashboards, 50 supplier integrations</w:t>
      </w:r>
    </w:p>
    <w:p>
      <w:pPr>
        <w:pStyle w:val="ListBullet"/>
      </w:pPr>
      <w:r>
        <w:t>24/7 Tier-1 support with 4-hour response SLA for P1 incidents</w:t>
      </w:r>
    </w:p>
    <w:p>
      <w:pPr>
        <w:pStyle w:val="ListBullet"/>
      </w:pPr>
      <w:r>
        <w:t>Quarterly business review (QBR) sessions with Equinor Customer Success team</w:t>
      </w:r>
    </w:p>
    <w:p>
      <w:pPr>
        <w:pStyle w:val="ListBullet"/>
      </w:pPr>
      <w:r>
        <w:t>Annual security penetration test report shared with Customer</w:t>
      </w:r>
    </w:p>
    <w:p>
      <w:pPr>
        <w:pStyle w:val="Heading1"/>
      </w:pPr>
      <w:r>
        <w:t>3. Fees and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Fee (NOK)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EquinorOps Cloud Platform – Enterprise</w:t>
            </w:r>
          </w:p>
        </w:tc>
        <w:tc>
          <w:tcPr>
            <w:tcW w:type="dxa" w:w="2880"/>
          </w:tcPr>
          <w:p>
            <w:r>
              <w:t>360,000.00</w:t>
            </w:r>
          </w:p>
        </w:tc>
        <w:tc>
          <w:tcPr>
            <w:tcW w:type="dxa" w:w="2880"/>
          </w:tcPr>
          <w:p>
            <w:r>
              <w:t>Invoiced quarterly (90k/quarter)</w:t>
            </w:r>
          </w:p>
        </w:tc>
      </w:tr>
      <w:tr>
        <w:tc>
          <w:tcPr>
            <w:tcW w:type="dxa" w:w="2880"/>
          </w:tcPr>
          <w:p>
            <w:r>
              <w:t>ESG Reporting Module</w:t>
            </w:r>
          </w:p>
        </w:tc>
        <w:tc>
          <w:tcPr>
            <w:tcW w:type="dxa" w:w="2880"/>
          </w:tcPr>
          <w:p>
            <w:r>
              <w:t>96,000.00</w:t>
            </w:r>
          </w:p>
        </w:tc>
        <w:tc>
          <w:tcPr>
            <w:tcW w:type="dxa" w:w="2880"/>
          </w:tcPr>
          <w:p>
            <w:r>
              <w:t>Invoiced annually Jan</w:t>
            </w:r>
          </w:p>
        </w:tc>
      </w:tr>
      <w:tr>
        <w:tc>
          <w:tcPr>
            <w:tcW w:type="dxa" w:w="2880"/>
          </w:tcPr>
          <w:p>
            <w:r>
              <w:t>Supply Chain Analytics add-on</w:t>
            </w:r>
          </w:p>
        </w:tc>
        <w:tc>
          <w:tcPr>
            <w:tcW w:type="dxa" w:w="2880"/>
          </w:tcPr>
          <w:p>
            <w:r>
              <w:t>72,000.00</w:t>
            </w:r>
          </w:p>
        </w:tc>
        <w:tc>
          <w:tcPr>
            <w:tcW w:type="dxa" w:w="2880"/>
          </w:tcPr>
          <w:p>
            <w:r>
              <w:t>Invoiced annually Jan</w:t>
            </w:r>
          </w:p>
        </w:tc>
      </w:tr>
      <w:tr>
        <w:tc>
          <w:tcPr>
            <w:tcW w:type="dxa" w:w="2880"/>
          </w:tcPr>
          <w:p>
            <w:r>
              <w:t>Implementation &amp; Onboarding (one-off)</w:t>
            </w:r>
          </w:p>
        </w:tc>
        <w:tc>
          <w:tcPr>
            <w:tcW w:type="dxa" w:w="2880"/>
          </w:tcPr>
          <w:p>
            <w:r>
              <w:t>60,000.00</w:t>
            </w:r>
          </w:p>
        </w:tc>
        <w:tc>
          <w:tcPr>
            <w:tcW w:type="dxa" w:w="2880"/>
          </w:tcPr>
          <w:p>
            <w:r>
              <w:t>Invoiced upon go-live</w:t>
            </w:r>
          </w:p>
        </w:tc>
      </w:tr>
    </w:tbl>
    <w:p/>
    <w:p>
      <w:r>
        <w:rPr>
          <w:b/>
        </w:rPr>
        <w:t xml:space="preserve">Payment Terms: </w:t>
      </w:r>
      <w:r>
        <w:t>Net 30 days from invoice date. Late payments accrue interest at NIBOR + 3% per annum.</w:t>
      </w:r>
    </w:p>
    <w:p>
      <w:pPr>
        <w:pStyle w:val="Heading1"/>
      </w:pPr>
      <w:r>
        <w:t>4. Service Level Agreement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Response / Resolution Target</w:t>
            </w:r>
          </w:p>
        </w:tc>
      </w:tr>
      <w:tr>
        <w:tc>
          <w:tcPr>
            <w:tcW w:type="dxa" w:w="2880"/>
          </w:tcPr>
          <w:p>
            <w:r>
              <w:t>P1 – Critical</w:t>
            </w:r>
          </w:p>
        </w:tc>
        <w:tc>
          <w:tcPr>
            <w:tcW w:type="dxa" w:w="2880"/>
          </w:tcPr>
          <w:p>
            <w:r>
              <w:t>Platform unavailable / data loss risk</w:t>
            </w:r>
          </w:p>
        </w:tc>
        <w:tc>
          <w:tcPr>
            <w:tcW w:type="dxa" w:w="2880"/>
          </w:tcPr>
          <w:p>
            <w:r>
              <w:t>Response: 1 hr | Resolution: 4 hrs</w:t>
            </w:r>
          </w:p>
        </w:tc>
      </w:tr>
      <w:tr>
        <w:tc>
          <w:tcPr>
            <w:tcW w:type="dxa" w:w="2880"/>
          </w:tcPr>
          <w:p>
            <w:r>
              <w:t>P2 – High</w:t>
            </w:r>
          </w:p>
        </w:tc>
        <w:tc>
          <w:tcPr>
            <w:tcW w:type="dxa" w:w="2880"/>
          </w:tcPr>
          <w:p>
            <w:r>
              <w:t>Major functionality impaired</w:t>
            </w:r>
          </w:p>
        </w:tc>
        <w:tc>
          <w:tcPr>
            <w:tcW w:type="dxa" w:w="2880"/>
          </w:tcPr>
          <w:p>
            <w:r>
              <w:t>Response: 2 hrs | Resolution: 8 hrs</w:t>
            </w:r>
          </w:p>
        </w:tc>
      </w:tr>
      <w:tr>
        <w:tc>
          <w:tcPr>
            <w:tcW w:type="dxa" w:w="2880"/>
          </w:tcPr>
          <w:p>
            <w:r>
              <w:t>P3 – Medium</w:t>
            </w:r>
          </w:p>
        </w:tc>
        <w:tc>
          <w:tcPr>
            <w:tcW w:type="dxa" w:w="2880"/>
          </w:tcPr>
          <w:p>
            <w:r>
              <w:t>Minor functionality impaired</w:t>
            </w:r>
          </w:p>
        </w:tc>
        <w:tc>
          <w:tcPr>
            <w:tcW w:type="dxa" w:w="2880"/>
          </w:tcPr>
          <w:p>
            <w:r>
              <w:t>Response: 4 hrs | Resolution: 24 hrs</w:t>
            </w:r>
          </w:p>
        </w:tc>
      </w:tr>
      <w:tr>
        <w:tc>
          <w:tcPr>
            <w:tcW w:type="dxa" w:w="2880"/>
          </w:tcPr>
          <w:p>
            <w:r>
              <w:t>P4 – Low</w:t>
            </w:r>
          </w:p>
        </w:tc>
        <w:tc>
          <w:tcPr>
            <w:tcW w:type="dxa" w:w="2880"/>
          </w:tcPr>
          <w:p>
            <w:r>
              <w:t>Cosmetic / enhancement request</w:t>
            </w:r>
          </w:p>
        </w:tc>
        <w:tc>
          <w:tcPr>
            <w:tcW w:type="dxa" w:w="2880"/>
          </w:tcPr>
          <w:p>
            <w:r>
              <w:t>Response: 1 day | Resolution: Next release</w:t>
            </w:r>
          </w:p>
        </w:tc>
      </w:tr>
    </w:tbl>
    <w:p/>
    <w:p>
      <w:r>
        <w:rPr>
          <w:b/>
        </w:rPr>
        <w:t xml:space="preserve">Uptime Guarantee: </w:t>
      </w:r>
      <w:r>
        <w:t>99.9% monthly uptime (excluding scheduled maintenance windows, max 4 hrs/month Sundays 02:00–06:00 CET). Service credits apply at 10% of monthly fee per 0.1% below target, capped at 30% of monthly fee.</w:t>
      </w:r>
    </w:p>
    <w:p>
      <w:pPr>
        <w:pStyle w:val="Heading1"/>
      </w:pPr>
      <w:r>
        <w:t>5. Data Protection and Security</w:t>
      </w:r>
    </w:p>
    <w:p>
      <w:pPr>
        <w:pStyle w:val="ListBullet"/>
      </w:pPr>
      <w:r>
        <w:t>Both parties shall comply with the EU General Data Protection Regulation (GDPR) and the Norwegian Personal Data Act (Personopplysningsloven).</w:t>
      </w:r>
    </w:p>
    <w:p>
      <w:pPr>
        <w:pStyle w:val="ListBullet"/>
      </w:pPr>
      <w:r>
        <w:t>Vendor acts as Data Processor; Customer acts as Data Controller. A Data Processing Agreement (DPA) is appended as Exhibit A and forms an integral part of this Agreement.</w:t>
      </w:r>
    </w:p>
    <w:p>
      <w:pPr>
        <w:pStyle w:val="ListBullet"/>
      </w:pPr>
      <w:r>
        <w:t>Customer data is stored exclusively in EU/EEA data centres (Azure Norway East region).</w:t>
      </w:r>
    </w:p>
    <w:p>
      <w:pPr>
        <w:pStyle w:val="ListBullet"/>
      </w:pPr>
      <w:r>
        <w:t>Vendor shall notify Customer of any personal data breach within 24 hours of detection.</w:t>
      </w:r>
    </w:p>
    <w:p>
      <w:pPr>
        <w:pStyle w:val="ListBullet"/>
      </w:pPr>
      <w:r>
        <w:t>Annual ISO/IEC 27001 audit certificate to be provided by Vendor by 31 March each year.</w:t>
      </w:r>
    </w:p>
    <w:p>
      <w:pPr>
        <w:pStyle w:val="Heading1"/>
      </w:pPr>
      <w:r>
        <w:t>6. Intellectual Property</w:t>
      </w:r>
    </w:p>
    <w:p>
      <w:r>
        <w:t>All software, documentation, and platform components remain the exclusive intellectual property of Equinor Technology Solutions AS. Customer is granted a non-exclusive, non-transferable, revocable licence to use the Services during the term. Customer data remains the exclusive property of Allergo Nordic AS.</w:t>
      </w:r>
    </w:p>
    <w:p>
      <w:pPr>
        <w:pStyle w:val="Heading1"/>
      </w:pPr>
      <w:r>
        <w:t>7. Confidentiality</w:t>
      </w:r>
    </w:p>
    <w:p>
      <w:r>
        <w:t>Both parties undertake to keep all Confidential Information (as defined in Exhibit B) strictly confidential for the duration of this Agreement and for a period of 5 years thereafter. Confidential Information shall not be disclosed to any third party without prior written consent, except as required by applicable law.</w:t>
      </w:r>
    </w:p>
    <w:p>
      <w:pPr>
        <w:pStyle w:val="Heading1"/>
      </w:pPr>
      <w:r>
        <w:t>8. Termination</w:t>
      </w:r>
    </w:p>
    <w:p>
      <w:pPr>
        <w:pStyle w:val="ListBullet"/>
      </w:pPr>
      <w:r>
        <w:t>Either party may terminate this Agreement for convenience with 90 days' written notice.</w:t>
      </w:r>
    </w:p>
    <w:p>
      <w:pPr>
        <w:pStyle w:val="ListBullet"/>
      </w:pPr>
      <w:r>
        <w:t>Either party may terminate immediately upon material breach not cured within 30 days of written notice.</w:t>
      </w:r>
    </w:p>
    <w:p>
      <w:pPr>
        <w:pStyle w:val="ListBullet"/>
      </w:pPr>
      <w:r>
        <w:t>Upon termination, Customer data shall be exported and securely deleted within 60 days.</w:t>
      </w:r>
    </w:p>
    <w:p>
      <w:pPr>
        <w:pStyle w:val="Heading1"/>
      </w:pPr>
      <w:r>
        <w:t>9.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 VENDOR — Equinor Technology Solutions AS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FOR CUSTOMER — Allergo Nordic AS</w:t>
            </w:r>
          </w:p>
        </w:tc>
      </w:tr>
      <w:tr>
        <w:tc>
          <w:tcPr>
            <w:tcW w:type="dxa" w:w="4320"/>
          </w:tcPr>
          <w:p>
            <w:r>
              <w:t>Name: Bjørn Inge Håvard</w:t>
              <w:br/>
              <w:t>Title: Chief Commercial Officer</w:t>
              <w:br/>
              <w:t>Date: _________________</w:t>
            </w:r>
          </w:p>
        </w:tc>
        <w:tc>
          <w:tcPr>
            <w:tcW w:type="dxa" w:w="4320"/>
          </w:tcPr>
          <w:p>
            <w:r>
              <w:t>Name: Knut Sørensen</w:t>
              <w:br/>
              <w:t>Title: Chief Financial Officer</w:t>
              <w:br/>
              <w:t>Date: _________________</w:t>
            </w:r>
          </w:p>
        </w:tc>
      </w:tr>
      <w:tr>
        <w:tc>
          <w:tcPr>
            <w:tcW w:type="dxa" w:w="4320"/>
          </w:tcPr>
          <w:p>
            <w:r>
              <w:t>Signature: ________________________</w:t>
            </w:r>
          </w:p>
        </w:tc>
        <w:tc>
          <w:tcPr>
            <w:tcW w:type="dxa" w:w="4320"/>
          </w:tcPr>
          <w:p>
            <w:r>
              <w:t>Signature: 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