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AUTOMOTIVE COMPONENT MARKET ENTRY &amp; EXPANSION STRATEGY</w:t>
      </w:r>
    </w:p>
    <w:p>
      <w:pPr>
        <w:jc w:val="center"/>
      </w:pPr>
      <w:r>
        <w:rPr>
          <w:i/>
          <w:sz w:val="22"/>
        </w:rPr>
        <w:t>Consolidated Strategy Report | Synthetic Management Consulting Case</w:t>
      </w:r>
    </w:p>
    <w:p>
      <w:pPr>
        <w:pStyle w:val="Heading1"/>
      </w:pPr>
      <w:r>
        <w:t>1. Executive Summary</w:t>
      </w:r>
    </w:p>
    <w:p>
      <w:r>
        <w:t>The case evaluates whether a hypothetical automotive-component manufacturer should expand in India, which component segment should be prioritized, what entry route is appropriate, and how capacity should be phased. The analysis indicates that the investment decision should be driven by customer access and qualification evidence rather than market growth alone.</w:t>
      </w:r>
    </w:p>
    <w:p>
      <w:pPr>
        <w:pStyle w:val="ListBullet"/>
      </w:pPr>
      <w:r>
        <w:t>Base-case strategic focus: conventional automotive components provide the strongest balance of market scale, customer access and manufacturing capability fit in the synthetic scorecard.</w:t>
      </w:r>
    </w:p>
    <w:p>
      <w:pPr>
        <w:pStyle w:val="ListBullet"/>
      </w:pPr>
      <w:r>
        <w:t>Growth adjacency: EV components offer higher structural growth but require stronger technology, qualification and customer-access capabilities.</w:t>
      </w:r>
    </w:p>
    <w:p>
      <w:pPr>
        <w:pStyle w:val="ListBullet"/>
      </w:pPr>
      <w:r>
        <w:t>Entry approach: a JV or strategic partnership is a credible route where it materially accelerates customer access or capability acquisition; greenfield investment remains appropriate where proprietary capability and long-term scale are validated.</w:t>
      </w:r>
    </w:p>
    <w:p>
      <w:pPr>
        <w:pStyle w:val="ListBullet"/>
      </w:pPr>
      <w:r>
        <w:t>Capacity principle: build in phases against customer nominations and utilization milestones rather than installing full long-term capacity at launch.</w:t>
      </w:r>
    </w:p>
    <w:p>
      <w:pPr>
        <w:pStyle w:val="ListBullet"/>
      </w:pPr>
      <w:r>
        <w:t>Investment principle: proceed only after validating pricing, qualification timing, tooling/CAPEX and a credible customer pipeline.</w:t>
      </w:r>
    </w:p>
    <w:p>
      <w:pPr>
        <w:pStyle w:val="Heading1"/>
      </w:pPr>
      <w:r>
        <w:t>2. Management Question</w:t>
      </w:r>
    </w:p>
    <w:p>
      <w:r>
        <w:t>Should the company enter or expand in the target automotive-component market, which segment should it prioritize, what operating scale should it pursue, and what investment model should management adopt?</w:t>
      </w:r>
    </w:p>
    <w:p>
      <w:pPr>
        <w:pStyle w:val="Heading1"/>
      </w:pPr>
      <w:r>
        <w:t>3. Market Opportunity</w:t>
      </w:r>
    </w:p>
    <w:p>
      <w:r>
        <w:t>The market workbook uses a synthetic 2027 candidate component market of ₹50,000 crore, split across six component categories. The case assumes 9% market growth for planning purposes. These values are analytical assumptions rather than claims about a specific company or proprietary market forecast.</w:t>
      </w:r>
    </w:p>
    <w:p>
      <w:r>
        <w:t>The TAM/SAM/SOM framework narrows the broad opportunity into an addressable market and an attainable share. The purpose is not to present a definitive market forecast; it is to demonstrate how a consulting team would connect market evidence to a commercial business case.</w:t>
      </w:r>
    </w:p>
    <w:p>
      <w:pPr>
        <w:pStyle w:val="Heading1"/>
      </w:pPr>
      <w:r>
        <w:t>4. Segment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Segment</w:t>
            </w:r>
          </w:p>
        </w:tc>
        <w:tc>
          <w:tcPr>
            <w:tcW w:type="dxa" w:w="3360"/>
          </w:tcPr>
          <w:p>
            <w:r>
              <w:t>Strategic interpretation</w:t>
            </w:r>
          </w:p>
        </w:tc>
        <w:tc>
          <w:tcPr>
            <w:tcW w:type="dxa" w:w="3360"/>
          </w:tcPr>
          <w:p>
            <w:r>
              <w:t>Role in case</w:t>
            </w:r>
          </w:p>
        </w:tc>
      </w:tr>
      <w:tr>
        <w:tc>
          <w:tcPr>
            <w:tcW w:type="dxa" w:w="3360"/>
          </w:tcPr>
          <w:p>
            <w:r>
              <w:t>Auto Components</w:t>
            </w:r>
          </w:p>
        </w:tc>
        <w:tc>
          <w:tcPr>
            <w:tcW w:type="dxa" w:w="3360"/>
          </w:tcPr>
          <w:p>
            <w:r>
              <w:t>Large market, strong ecosystem and manufacturing fit; competitive</w:t>
            </w:r>
          </w:p>
        </w:tc>
        <w:tc>
          <w:tcPr>
            <w:tcW w:type="dxa" w:w="3360"/>
          </w:tcPr>
          <w:p>
            <w:r>
              <w:t>Primary base-case segment</w:t>
            </w:r>
          </w:p>
        </w:tc>
      </w:tr>
      <w:tr>
        <w:tc>
          <w:tcPr>
            <w:tcW w:type="dxa" w:w="3360"/>
          </w:tcPr>
          <w:p>
            <w:r>
              <w:t>EV Components</w:t>
            </w:r>
          </w:p>
        </w:tc>
        <w:tc>
          <w:tcPr>
            <w:tcW w:type="dxa" w:w="3360"/>
          </w:tcPr>
          <w:p>
            <w:r>
              <w:t>High growth with higher technology and qualification requirements</w:t>
            </w:r>
          </w:p>
        </w:tc>
        <w:tc>
          <w:tcPr>
            <w:tcW w:type="dxa" w:w="3360"/>
          </w:tcPr>
          <w:p>
            <w:r>
              <w:t>Growth adjacency</w:t>
            </w:r>
          </w:p>
        </w:tc>
      </w:tr>
      <w:tr>
        <w:tc>
          <w:tcPr>
            <w:tcW w:type="dxa" w:w="3360"/>
          </w:tcPr>
          <w:p>
            <w:r>
              <w:t>Powertrain Components</w:t>
            </w:r>
          </w:p>
        </w:tc>
        <w:tc>
          <w:tcPr>
            <w:tcW w:type="dxa" w:w="3360"/>
          </w:tcPr>
          <w:p>
            <w:r>
              <w:t>Large installed base but exposed to electrification transition</w:t>
            </w:r>
          </w:p>
        </w:tc>
        <w:tc>
          <w:tcPr>
            <w:tcW w:type="dxa" w:w="3360"/>
          </w:tcPr>
          <w:p>
            <w:r>
              <w:t>Selective opportunity</w:t>
            </w:r>
          </w:p>
        </w:tc>
      </w:tr>
      <w:tr>
        <w:tc>
          <w:tcPr>
            <w:tcW w:type="dxa" w:w="3360"/>
          </w:tcPr>
          <w:p>
            <w:r>
              <w:t>Electronics &amp; Sensors</w:t>
            </w:r>
          </w:p>
        </w:tc>
        <w:tc>
          <w:tcPr>
            <w:tcW w:type="dxa" w:w="3360"/>
          </w:tcPr>
          <w:p>
            <w:r>
              <w:t>Attractive growth/value density; capability intensive</w:t>
            </w:r>
          </w:p>
        </w:tc>
        <w:tc>
          <w:tcPr>
            <w:tcW w:type="dxa" w:w="3360"/>
          </w:tcPr>
          <w:p>
            <w:r>
              <w:t>Capability-led option</w:t>
            </w:r>
          </w:p>
        </w:tc>
      </w:tr>
      <w:tr>
        <w:tc>
          <w:tcPr>
            <w:tcW w:type="dxa" w:w="3360"/>
          </w:tcPr>
          <w:p>
            <w:r>
              <w:t>Interior / Body Systems</w:t>
            </w:r>
          </w:p>
        </w:tc>
        <w:tc>
          <w:tcPr>
            <w:tcW w:type="dxa" w:w="3360"/>
          </w:tcPr>
          <w:p>
            <w:r>
              <w:t>Broad demand and manageable complexity</w:t>
            </w:r>
          </w:p>
        </w:tc>
        <w:tc>
          <w:tcPr>
            <w:tcW w:type="dxa" w:w="3360"/>
          </w:tcPr>
          <w:p>
            <w:r>
              <w:t>Secondary option</w:t>
            </w:r>
          </w:p>
        </w:tc>
      </w:tr>
      <w:tr>
        <w:tc>
          <w:tcPr>
            <w:tcW w:type="dxa" w:w="3360"/>
          </w:tcPr>
          <w:p>
            <w:r>
              <w:t>Commercial Vehicle Components</w:t>
            </w:r>
          </w:p>
        </w:tc>
        <w:tc>
          <w:tcPr>
            <w:tcW w:type="dxa" w:w="3360"/>
          </w:tcPr>
          <w:p>
            <w:r>
              <w:t>Smaller but potentially defensible niche</w:t>
            </w:r>
          </w:p>
        </w:tc>
        <w:tc>
          <w:tcPr>
            <w:tcW w:type="dxa" w:w="3360"/>
          </w:tcPr>
          <w:p>
            <w:r>
              <w:t>Focused niche option</w:t>
            </w:r>
          </w:p>
        </w:tc>
      </w:tr>
    </w:tbl>
    <w:p>
      <w:pPr>
        <w:pStyle w:val="Heading1"/>
      </w:pPr>
      <w:r>
        <w:t>5. Competitive Positioning</w:t>
      </w:r>
    </w:p>
    <w:p>
      <w:r>
        <w:t>The competitor benchmark considers large diversified Tier-1 suppliers, specialist Tier-1s, low-cost Tier-2 suppliers, local niche players and technology entrants. A new entrant should avoid competing broadly against established Tier-1s without a clear right-to-win.</w:t>
      </w:r>
    </w:p>
    <w:p>
      <w:pPr>
        <w:pStyle w:val="ListBullet"/>
      </w:pPr>
      <w:r>
        <w:t>Potential differentiation levers: cost position, quality consistency, engineering responsiveness, localization, speed of industrialization and customer service.</w:t>
      </w:r>
    </w:p>
    <w:p>
      <w:pPr>
        <w:pStyle w:val="ListBullet"/>
      </w:pPr>
      <w:r>
        <w:t>The right-to-win must be tested at the component-family and customer level, not inferred from industry growth.</w:t>
      </w:r>
    </w:p>
    <w:p>
      <w:pPr>
        <w:pStyle w:val="ListBullet"/>
      </w:pPr>
      <w:r>
        <w:t>Local niche suppliers may represent partnership or acquisition opportunities where they provide customer relationships, tooling, certification or operating capability.</w:t>
      </w:r>
    </w:p>
    <w:p>
      <w:pPr>
        <w:pStyle w:val="Heading1"/>
      </w:pPr>
      <w:r>
        <w:t>6. Entry Route</w:t>
      </w:r>
    </w:p>
    <w:p>
      <w:r>
        <w:t>Four routes were assessed: greenfield, JV/strategic partnership, acquisition and contract manufacturing. The preferred route depends on the specific capability gap.</w:t>
      </w:r>
    </w:p>
    <w:p>
      <w:pPr>
        <w:pStyle w:val="ListBullet"/>
      </w:pPr>
      <w:r>
        <w:t>Greenfield: maximum control but slower customer/capability build and higher upfront commitment.</w:t>
      </w:r>
    </w:p>
    <w:p>
      <w:pPr>
        <w:pStyle w:val="ListBullet"/>
      </w:pPr>
      <w:r>
        <w:t>JV / strategic partnership: useful when customer access, technology or local capability can be accelerated.</w:t>
      </w:r>
    </w:p>
    <w:p>
      <w:pPr>
        <w:pStyle w:val="ListBullet"/>
      </w:pPr>
      <w:r>
        <w:t>Acquisition: fastest route to customers/capability but requires valuation and integration discipline.</w:t>
      </w:r>
    </w:p>
    <w:p>
      <w:pPr>
        <w:pStyle w:val="ListBullet"/>
      </w:pPr>
      <w:r>
        <w:t>Contract manufacturing: useful as a low-commitment demand test, but offers less control and weaker long-term differentiation.</w:t>
      </w:r>
    </w:p>
    <w:p>
      <w:pPr>
        <w:pStyle w:val="Heading1"/>
      </w:pPr>
      <w:r>
        <w:t>7. Capacity &amp; Operating Model</w:t>
      </w:r>
    </w:p>
    <w:p>
      <w:r>
        <w:t>The illustrative business case uses phased capacity rather than a one-time full-scale build. Initial installed capacity is modeled at 0.25 million units, expanding to 0.50 million units from 2031. Utilization ramps from 35% toward a mature 80% ceiling.</w:t>
      </w:r>
    </w:p>
    <w:p>
      <w:r>
        <w:t>Revenue is linked to production volume and an illustrative blended ASP. Variable costs scale with production while fixed operating costs remain largely plant-level. This structure makes the model sensitive to utilization, pricing and qualification delays—exactly the variables management should validate before investment.</w:t>
      </w:r>
    </w:p>
    <w:p>
      <w:pPr>
        <w:pStyle w:val="Heading1"/>
      </w:pPr>
      <w:r>
        <w:t>8. Investment Case</w:t>
      </w:r>
    </w:p>
    <w:p>
      <w:r>
        <w:t>The financial model includes initial CAPEX, expansion CAPEX, maintenance CAPEX, operating costs, tax, free cash flow, NPV, IRR and payback. It also contains downside, base and upside scenarios plus ASP/utilization sensitivity.</w:t>
      </w:r>
    </w:p>
    <w:p>
      <w:pPr>
        <w:pStyle w:val="ListBullet"/>
      </w:pPr>
      <w:r>
        <w:t>Initial CAPEX assumption: ₹220 crore.</w:t>
      </w:r>
    </w:p>
    <w:p>
      <w:pPr>
        <w:pStyle w:val="ListBullet"/>
      </w:pPr>
      <w:r>
        <w:t>Expansion CAPEX assumption: ₹140 crore.</w:t>
      </w:r>
    </w:p>
    <w:p>
      <w:pPr>
        <w:pStyle w:val="ListBullet"/>
      </w:pPr>
      <w:r>
        <w:t>Maintenance CAPEX assumption: ₹15 crore per year.</w:t>
      </w:r>
    </w:p>
    <w:p>
      <w:pPr>
        <w:pStyle w:val="ListBullet"/>
      </w:pPr>
      <w:r>
        <w:t>Illustrative discount rate: 12%.</w:t>
      </w:r>
    </w:p>
    <w:p>
      <w:r>
        <w:t>All financial assumptions are synthetic. The decision value of the model is the linkage between commercial assumptions and investment economics, not the absolute illustrative output.</w:t>
      </w:r>
    </w:p>
    <w:p>
      <w:pPr>
        <w:pStyle w:val="Heading1"/>
      </w:pPr>
      <w:r>
        <w:t>9. Principal Risks</w:t>
      </w:r>
    </w:p>
    <w:p>
      <w:pPr>
        <w:pStyle w:val="ListBullet"/>
      </w:pPr>
      <w:r>
        <w:t>Customer nomination risk — address through early OEM/Tier-1 engagement and evidence-based pipeline conversion.</w:t>
      </w:r>
    </w:p>
    <w:p>
      <w:pPr>
        <w:pStyle w:val="ListBullet"/>
      </w:pPr>
      <w:r>
        <w:t>Qualification timing risk — model PPAP/approval timelines explicitly before setting revenue dates.</w:t>
      </w:r>
    </w:p>
    <w:p>
      <w:pPr>
        <w:pStyle w:val="ListBullet"/>
      </w:pPr>
      <w:r>
        <w:t>Pricing and annual price-down risk — validate ASP, customer concentration and contractual economics.</w:t>
      </w:r>
    </w:p>
    <w:p>
      <w:pPr>
        <w:pStyle w:val="ListBullet"/>
      </w:pPr>
      <w:r>
        <w:t>Utilization risk — phase capacity and define minimum commitment thresholds before expansion.</w:t>
      </w:r>
    </w:p>
    <w:p>
      <w:pPr>
        <w:pStyle w:val="ListBullet"/>
      </w:pPr>
      <w:r>
        <w:t>Technology transition risk — assess EV exposure and avoid stranded capability.</w:t>
      </w:r>
    </w:p>
    <w:p>
      <w:pPr>
        <w:pStyle w:val="ListBullet"/>
      </w:pPr>
      <w:r>
        <w:t>CAPEX/tooling risk — obtain supplier quotations and engineering estimates before approval.</w:t>
      </w:r>
    </w:p>
    <w:p>
      <w:pPr>
        <w:pStyle w:val="ListBullet"/>
      </w:pPr>
      <w:r>
        <w:t>Raw-material risk — test pass-through mechanisms and commodity sensitivity.</w:t>
      </w:r>
    </w:p>
    <w:p>
      <w:pPr>
        <w:pStyle w:val="ListBullet"/>
      </w:pPr>
      <w:r>
        <w:t>Execution risk — use milestone-based investment gates and clear management ownership.</w:t>
      </w:r>
    </w:p>
    <w:p>
      <w:pPr>
        <w:pStyle w:val="Heading1"/>
      </w:pPr>
      <w:r>
        <w:t>10. Recommended Decision Gates</w:t>
      </w:r>
    </w:p>
    <w:p>
      <w:pPr>
        <w:pStyle w:val="ListBullet"/>
      </w:pPr>
      <w:r>
        <w:t>Gate 1 — Confirm component family and customer value proposition.</w:t>
      </w:r>
    </w:p>
    <w:p>
      <w:pPr>
        <w:pStyle w:val="ListBullet"/>
      </w:pPr>
      <w:r>
        <w:t>Gate 2 — Validate addressable demand with customer-level evidence.</w:t>
      </w:r>
    </w:p>
    <w:p>
      <w:pPr>
        <w:pStyle w:val="ListBullet"/>
      </w:pPr>
      <w:r>
        <w:t>Gate 3 — Complete technical, qualification and tooling diligence.</w:t>
      </w:r>
    </w:p>
    <w:p>
      <w:pPr>
        <w:pStyle w:val="ListBullet"/>
      </w:pPr>
      <w:r>
        <w:t>Gate 4 — Select entry route based on capability gap and speed requirement.</w:t>
      </w:r>
    </w:p>
    <w:p>
      <w:pPr>
        <w:pStyle w:val="ListBullet"/>
      </w:pPr>
      <w:r>
        <w:t>Gate 5 — Approve initial capacity only against credible nominations / demand evidence.</w:t>
      </w:r>
    </w:p>
    <w:p>
      <w:pPr>
        <w:pStyle w:val="ListBullet"/>
      </w:pPr>
      <w:r>
        <w:t>Gate 6 — Release expansion CAPEX only after utilization and pipeline thresholds are achieved.</w:t>
      </w:r>
    </w:p>
    <w:p>
      <w:pPr>
        <w:pStyle w:val="Heading1"/>
      </w:pPr>
      <w:r>
        <w:t>11. Implementation Roadmap</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Timing</w:t>
            </w:r>
          </w:p>
        </w:tc>
        <w:tc>
          <w:tcPr>
            <w:tcW w:type="dxa" w:w="3360"/>
          </w:tcPr>
          <w:p>
            <w:r>
              <w:t>Priority actions</w:t>
            </w:r>
          </w:p>
        </w:tc>
      </w:tr>
      <w:tr>
        <w:tc>
          <w:tcPr>
            <w:tcW w:type="dxa" w:w="3360"/>
          </w:tcPr>
          <w:p>
            <w:r>
              <w:t>Validate</w:t>
            </w:r>
          </w:p>
        </w:tc>
        <w:tc>
          <w:tcPr>
            <w:tcW w:type="dxa" w:w="3360"/>
          </w:tcPr>
          <w:p>
            <w:r>
              <w:t>0–3 months</w:t>
            </w:r>
          </w:p>
        </w:tc>
        <w:tc>
          <w:tcPr>
            <w:tcW w:type="dxa" w:w="3360"/>
          </w:tcPr>
          <w:p>
            <w:r>
              <w:t>Customer interviews, component-family selection, competitor/pricing diligence</w:t>
            </w:r>
          </w:p>
        </w:tc>
      </w:tr>
      <w:tr>
        <w:tc>
          <w:tcPr>
            <w:tcW w:type="dxa" w:w="3360"/>
          </w:tcPr>
          <w:p>
            <w:r>
              <w:t>Design</w:t>
            </w:r>
          </w:p>
        </w:tc>
        <w:tc>
          <w:tcPr>
            <w:tcW w:type="dxa" w:w="3360"/>
          </w:tcPr>
          <w:p>
            <w:r>
              <w:t>3–6 months</w:t>
            </w:r>
          </w:p>
        </w:tc>
        <w:tc>
          <w:tcPr>
            <w:tcW w:type="dxa" w:w="3360"/>
          </w:tcPr>
          <w:p>
            <w:r>
              <w:t>Entry-route selection, technical concept, CAPEX/tooling estimates, partner screening</w:t>
            </w:r>
          </w:p>
        </w:tc>
      </w:tr>
      <w:tr>
        <w:tc>
          <w:tcPr>
            <w:tcW w:type="dxa" w:w="3360"/>
          </w:tcPr>
          <w:p>
            <w:r>
              <w:t>Commit</w:t>
            </w:r>
          </w:p>
        </w:tc>
        <w:tc>
          <w:tcPr>
            <w:tcW w:type="dxa" w:w="3360"/>
          </w:tcPr>
          <w:p>
            <w:r>
              <w:t>6–9 months</w:t>
            </w:r>
          </w:p>
        </w:tc>
        <w:tc>
          <w:tcPr>
            <w:tcW w:type="dxa" w:w="3360"/>
          </w:tcPr>
          <w:p>
            <w:r>
              <w:t>Commercial pipeline, investment approval, financing and contracting</w:t>
            </w:r>
          </w:p>
        </w:tc>
      </w:tr>
      <w:tr>
        <w:tc>
          <w:tcPr>
            <w:tcW w:type="dxa" w:w="3360"/>
          </w:tcPr>
          <w:p>
            <w:r>
              <w:t>Launch</w:t>
            </w:r>
          </w:p>
        </w:tc>
        <w:tc>
          <w:tcPr>
            <w:tcW w:type="dxa" w:w="3360"/>
          </w:tcPr>
          <w:p>
            <w:r>
              <w:t>9–24 months</w:t>
            </w:r>
          </w:p>
        </w:tc>
        <w:tc>
          <w:tcPr>
            <w:tcW w:type="dxa" w:w="3360"/>
          </w:tcPr>
          <w:p>
            <w:r>
              <w:t>Plant/tooling setup, qualification, customer ramp</w:t>
            </w:r>
          </w:p>
        </w:tc>
      </w:tr>
      <w:tr>
        <w:tc>
          <w:tcPr>
            <w:tcW w:type="dxa" w:w="3360"/>
          </w:tcPr>
          <w:p>
            <w:r>
              <w:t>Scale</w:t>
            </w:r>
          </w:p>
        </w:tc>
        <w:tc>
          <w:tcPr>
            <w:tcW w:type="dxa" w:w="3360"/>
          </w:tcPr>
          <w:p>
            <w:r>
              <w:t>Post-launch</w:t>
            </w:r>
          </w:p>
        </w:tc>
        <w:tc>
          <w:tcPr>
            <w:tcW w:type="dxa" w:w="3360"/>
          </w:tcPr>
          <w:p>
            <w:r>
              <w:t>Utilization-led expansion and adjacent EV/component opportunities</w:t>
            </w:r>
          </w:p>
        </w:tc>
      </w:tr>
    </w:tbl>
    <w:p>
      <w:pPr>
        <w:pStyle w:val="Heading1"/>
      </w:pPr>
      <w:r>
        <w:t>12. Conclusion</w:t>
      </w:r>
    </w:p>
    <w:p>
      <w:r>
        <w:t>The project supports a focused, evidence-led expansion strategy rather than a broad market-entry bet. Management should prioritize a component family where it has a credible right-to-win, use partnerships selectively to close customer or technology gaps, and stage capacity against commercial proof. The final investment decision should be taken only after customer, technical and CAPEX assumptions have been validated.</w:t>
      </w:r>
    </w:p>
    <w:p>
      <w:pPr>
        <w:pStyle w:val="Heading1"/>
      </w:pPr>
      <w:r>
        <w:t>13. Data &amp; Assumption Disclosure</w:t>
      </w:r>
    </w:p>
    <w:p>
      <w:r>
        <w:t>This is a synthetic portfolio case. Public institutions such as SIAM, ACMA, Invest India and the Ministry of Heavy Industries are identified in the analytical workbooks as reference sources for industry context. Company-specific market sizes, scores, pricing, costs, capacity and investment assumptions are illustrative and are explicitly treated as case assumptions.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