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SUPPLY CHAIN COST OPTIMIZATION</w:t>
      </w:r>
    </w:p>
    <w:p>
      <w:pPr>
        <w:jc w:val="center"/>
      </w:pPr>
      <w:r>
        <w:rPr>
          <w:i/>
        </w:rPr>
        <w:t>Consolidated Consulting Report | Synthetic Case</w:t>
      </w:r>
    </w:p>
    <w:p>
      <w:pPr>
        <w:pStyle w:val="Heading1"/>
      </w:pPr>
      <w:r>
        <w:t>1. Executive Summary</w:t>
      </w:r>
    </w:p>
    <w:p>
      <w:r>
        <w:t>The case examines a hypothetical manufacturing company's procurement, inbound logistics and inventory cost base. The analysis identifies a portfolio of savings opportunities and translates them into an implementation plan.</w:t>
      </w:r>
    </w:p>
    <w:p>
      <w:pPr>
        <w:pStyle w:val="ListBullet"/>
      </w:pPr>
      <w:r>
        <w:t>The largest modeled opportunity pools are procurement, freight and inventory carrying cost.</w:t>
      </w:r>
    </w:p>
    <w:p>
      <w:pPr>
        <w:pStyle w:val="ListBullet"/>
      </w:pPr>
      <w:r>
        <w:t>Priority initiatives include steel supplier negotiation, inventory parameter reset, freight consolidation and electronics sourcing competition.</w:t>
      </w:r>
    </w:p>
    <w:p>
      <w:pPr>
        <w:pStyle w:val="ListBullet"/>
      </w:pPr>
      <w:r>
        <w:t>The case estimates gross savings from six initiatives and deducts implementation costs to arrive at net annual savings.</w:t>
      </w:r>
    </w:p>
    <w:p>
      <w:pPr>
        <w:pStyle w:val="ListBullet"/>
      </w:pPr>
      <w:r>
        <w:t>Savings should be validated through supplier benchmarks, RFQs, freight tenders, SKU-level inventory analysis and operational pilots before being treated as committed benefits.</w:t>
      </w:r>
    </w:p>
    <w:p>
      <w:pPr>
        <w:pStyle w:val="Heading1"/>
      </w:pPr>
      <w:r>
        <w:t>2. Cost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Cost pool</w:t>
            </w:r>
          </w:p>
        </w:tc>
        <w:tc>
          <w:tcPr>
            <w:tcW w:type="dxa" w:w="3360"/>
          </w:tcPr>
          <w:p>
            <w:r>
              <w:t>Illustrative baseline</w:t>
            </w:r>
          </w:p>
        </w:tc>
        <w:tc>
          <w:tcPr>
            <w:tcW w:type="dxa" w:w="3360"/>
          </w:tcPr>
          <w:p>
            <w:r>
              <w:t>Main drivers</w:t>
            </w:r>
          </w:p>
        </w:tc>
      </w:tr>
      <w:tr>
        <w:tc>
          <w:tcPr>
            <w:tcW w:type="dxa" w:w="3360"/>
          </w:tcPr>
          <w:p>
            <w:r>
              <w:t>Procurement</w:t>
            </w:r>
          </w:p>
        </w:tc>
        <w:tc>
          <w:tcPr>
            <w:tcW w:type="dxa" w:w="3360"/>
          </w:tcPr>
          <w:p>
            <w:r>
              <w:t>₹1,083 cr</w:t>
            </w:r>
          </w:p>
        </w:tc>
        <w:tc>
          <w:tcPr>
            <w:tcW w:type="dxa" w:w="3360"/>
          </w:tcPr>
          <w:p>
            <w:r>
              <w:t>Unit price × volume; supplier/category concentration</w:t>
            </w:r>
          </w:p>
        </w:tc>
      </w:tr>
      <w:tr>
        <w:tc>
          <w:tcPr>
            <w:tcW w:type="dxa" w:w="3360"/>
          </w:tcPr>
          <w:p>
            <w:r>
              <w:t>Inbound freight</w:t>
            </w:r>
          </w:p>
        </w:tc>
        <w:tc>
          <w:tcPr>
            <w:tcW w:type="dxa" w:w="3360"/>
          </w:tcPr>
          <w:p>
            <w:r>
              <w:t>₹40 cr</w:t>
            </w:r>
          </w:p>
        </w:tc>
        <w:tc>
          <w:tcPr>
            <w:tcW w:type="dxa" w:w="3360"/>
          </w:tcPr>
          <w:p>
            <w:r>
              <w:t>Lane rate × shipment count</w:t>
            </w:r>
          </w:p>
        </w:tc>
      </w:tr>
      <w:tr>
        <w:tc>
          <w:tcPr>
            <w:tcW w:type="dxa" w:w="3360"/>
          </w:tcPr>
          <w:p>
            <w:r>
              <w:t>Inventory carrying</w:t>
            </w:r>
          </w:p>
        </w:tc>
        <w:tc>
          <w:tcPr>
            <w:tcW w:type="dxa" w:w="3360"/>
          </w:tcPr>
          <w:p>
            <w:r>
              <w:t>₹88.8 cr</w:t>
            </w:r>
          </w:p>
        </w:tc>
        <w:tc>
          <w:tcPr>
            <w:tcW w:type="dxa" w:w="3360"/>
          </w:tcPr>
          <w:p>
            <w:r>
              <w:t>Average inventory × carrying-cost rate</w:t>
            </w:r>
          </w:p>
        </w:tc>
      </w:tr>
    </w:tbl>
    <w:p>
      <w:r>
        <w:t>The transaction-level data are synthetic. The purpose is to demonstrate how a consulting team would structure the baseline and identify value pools.</w:t>
      </w:r>
    </w:p>
    <w:p>
      <w:pPr>
        <w:pStyle w:val="Heading1"/>
      </w:pPr>
      <w:r>
        <w:t>3. Key Cost Drivers</w:t>
      </w:r>
    </w:p>
    <w:p>
      <w:pPr>
        <w:pStyle w:val="ListBullet"/>
      </w:pPr>
      <w:r>
        <w:t>Steel is a high-value procurement category with direct negotiation and competitive-sourcing potential.</w:t>
      </w:r>
    </w:p>
    <w:p>
      <w:pPr>
        <w:pStyle w:val="ListBullet"/>
      </w:pPr>
      <w:r>
        <w:t>Electronics combines high spend with higher qualification and technical constraints, reducing the speed of savings capture.</w:t>
      </w:r>
    </w:p>
    <w:p>
      <w:pPr>
        <w:pStyle w:val="ListBullet"/>
      </w:pPr>
      <w:r>
        <w:t>Freight economics vary materially by lane, creating opportunities from consolidation, carrier tendering and mode review.</w:t>
      </w:r>
    </w:p>
    <w:p>
      <w:pPr>
        <w:pStyle w:val="ListBullet"/>
      </w:pPr>
      <w:r>
        <w:t>Inventory carrying cost creates a working-capital opportunity where safety stock, reorder parameters and slow-moving stock exceed operational requirements.</w:t>
      </w:r>
    </w:p>
    <w:p>
      <w:pPr>
        <w:pStyle w:val="Heading1"/>
      </w:pPr>
      <w:r>
        <w:t>4. Savings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Initiative</w:t>
            </w:r>
          </w:p>
        </w:tc>
        <w:tc>
          <w:tcPr>
            <w:tcW w:type="dxa" w:w="2520"/>
          </w:tcPr>
          <w:p>
            <w:r>
              <w:t>Gross savings</w:t>
            </w:r>
          </w:p>
        </w:tc>
        <w:tc>
          <w:tcPr>
            <w:tcW w:type="dxa" w:w="2520"/>
          </w:tcPr>
          <w:p>
            <w:r>
              <w:t>Implementation cost</w:t>
            </w:r>
          </w:p>
        </w:tc>
        <w:tc>
          <w:tcPr>
            <w:tcW w:type="dxa" w:w="2520"/>
          </w:tcPr>
          <w:p>
            <w:r>
              <w:t>Net savings</w:t>
            </w:r>
          </w:p>
        </w:tc>
      </w:tr>
      <w:tr>
        <w:tc>
          <w:tcPr>
            <w:tcW w:type="dxa" w:w="2520"/>
          </w:tcPr>
          <w:p>
            <w:r>
              <w:t>Steel supplier negotiation</w:t>
            </w:r>
          </w:p>
        </w:tc>
        <w:tc>
          <w:tcPr>
            <w:tcW w:type="dxa" w:w="2520"/>
          </w:tcPr>
          <w:p>
            <w:r>
              <w:t>₹18.0 cr</w:t>
            </w:r>
          </w:p>
        </w:tc>
        <w:tc>
          <w:tcPr>
            <w:tcW w:type="dxa" w:w="2520"/>
          </w:tcPr>
          <w:p>
            <w:r>
              <w:t>₹2.0 cr</w:t>
            </w:r>
          </w:p>
        </w:tc>
        <w:tc>
          <w:tcPr>
            <w:tcW w:type="dxa" w:w="2520"/>
          </w:tcPr>
          <w:p>
            <w:r>
              <w:t>₹16.0 cr</w:t>
            </w:r>
          </w:p>
        </w:tc>
      </w:tr>
      <w:tr>
        <w:tc>
          <w:tcPr>
            <w:tcW w:type="dxa" w:w="2520"/>
          </w:tcPr>
          <w:p>
            <w:r>
              <w:t>Electronics sourcing competition</w:t>
            </w:r>
          </w:p>
        </w:tc>
        <w:tc>
          <w:tcPr>
            <w:tcW w:type="dxa" w:w="2520"/>
          </w:tcPr>
          <w:p>
            <w:r>
              <w:t>₹12.0 cr</w:t>
            </w:r>
          </w:p>
        </w:tc>
        <w:tc>
          <w:tcPr>
            <w:tcW w:type="dxa" w:w="2520"/>
          </w:tcPr>
          <w:p>
            <w:r>
              <w:t>₹4.0 cr</w:t>
            </w:r>
          </w:p>
        </w:tc>
        <w:tc>
          <w:tcPr>
            <w:tcW w:type="dxa" w:w="2520"/>
          </w:tcPr>
          <w:p>
            <w:r>
              <w:t>₹8.0 cr</w:t>
            </w:r>
          </w:p>
        </w:tc>
      </w:tr>
      <w:tr>
        <w:tc>
          <w:tcPr>
            <w:tcW w:type="dxa" w:w="2520"/>
          </w:tcPr>
          <w:p>
            <w:r>
              <w:t>Freight lane consolidation</w:t>
            </w:r>
          </w:p>
        </w:tc>
        <w:tc>
          <w:tcPr>
            <w:tcW w:type="dxa" w:w="2520"/>
          </w:tcPr>
          <w:p>
            <w:r>
              <w:t>₹8.0 cr</w:t>
            </w:r>
          </w:p>
        </w:tc>
        <w:tc>
          <w:tcPr>
            <w:tcW w:type="dxa" w:w="2520"/>
          </w:tcPr>
          <w:p>
            <w:r>
              <w:t>₹1.0 cr</w:t>
            </w:r>
          </w:p>
        </w:tc>
        <w:tc>
          <w:tcPr>
            <w:tcW w:type="dxa" w:w="2520"/>
          </w:tcPr>
          <w:p>
            <w:r>
              <w:t>₹7.0 cr</w:t>
            </w:r>
          </w:p>
        </w:tc>
      </w:tr>
      <w:tr>
        <w:tc>
          <w:tcPr>
            <w:tcW w:type="dxa" w:w="2520"/>
          </w:tcPr>
          <w:p>
            <w:r>
              <w:t>Mode optimization</w:t>
            </w:r>
          </w:p>
        </w:tc>
        <w:tc>
          <w:tcPr>
            <w:tcW w:type="dxa" w:w="2520"/>
          </w:tcPr>
          <w:p>
            <w:r>
              <w:t>₹5.0 cr</w:t>
            </w:r>
          </w:p>
        </w:tc>
        <w:tc>
          <w:tcPr>
            <w:tcW w:type="dxa" w:w="2520"/>
          </w:tcPr>
          <w:p>
            <w:r>
              <w:t>₹1.5 cr</w:t>
            </w:r>
          </w:p>
        </w:tc>
        <w:tc>
          <w:tcPr>
            <w:tcW w:type="dxa" w:w="2520"/>
          </w:tcPr>
          <w:p>
            <w:r>
              <w:t>₹3.5 cr</w:t>
            </w:r>
          </w:p>
        </w:tc>
      </w:tr>
      <w:tr>
        <w:tc>
          <w:tcPr>
            <w:tcW w:type="dxa" w:w="2520"/>
          </w:tcPr>
          <w:p>
            <w:r>
              <w:t>Inventory parameter reset</w:t>
            </w:r>
          </w:p>
        </w:tc>
        <w:tc>
          <w:tcPr>
            <w:tcW w:type="dxa" w:w="2520"/>
          </w:tcPr>
          <w:p>
            <w:r>
              <w:t>₹10.0 cr</w:t>
            </w:r>
          </w:p>
        </w:tc>
        <w:tc>
          <w:tcPr>
            <w:tcW w:type="dxa" w:w="2520"/>
          </w:tcPr>
          <w:p>
            <w:r>
              <w:t>₹2.0 cr</w:t>
            </w:r>
          </w:p>
        </w:tc>
        <w:tc>
          <w:tcPr>
            <w:tcW w:type="dxa" w:w="2520"/>
          </w:tcPr>
          <w:p>
            <w:r>
              <w:t>₹8.0 cr</w:t>
            </w:r>
          </w:p>
        </w:tc>
      </w:tr>
      <w:tr>
        <w:tc>
          <w:tcPr>
            <w:tcW w:type="dxa" w:w="2520"/>
          </w:tcPr>
          <w:p>
            <w:r>
              <w:t>Slow-moving inventory reduction</w:t>
            </w:r>
          </w:p>
        </w:tc>
        <w:tc>
          <w:tcPr>
            <w:tcW w:type="dxa" w:w="2520"/>
          </w:tcPr>
          <w:p>
            <w:r>
              <w:t>₹6.0 cr</w:t>
            </w:r>
          </w:p>
        </w:tc>
        <w:tc>
          <w:tcPr>
            <w:tcW w:type="dxa" w:w="2520"/>
          </w:tcPr>
          <w:p>
            <w:r>
              <w:t>₹1.0 cr</w:t>
            </w:r>
          </w:p>
        </w:tc>
        <w:tc>
          <w:tcPr>
            <w:tcW w:type="dxa" w:w="2520"/>
          </w:tcPr>
          <w:p>
            <w:r>
              <w:t>₹5.0 cr</w:t>
            </w:r>
          </w:p>
        </w:tc>
      </w:tr>
    </w:tbl>
    <w:p>
      <w:r>
        <w:t>These savings are illustrative and should be treated as opportunity estimates until validated. The optimization workbook contains the calculation logic, prioritization score and sensitivity.</w:t>
      </w:r>
    </w:p>
    <w:p>
      <w:pPr>
        <w:pStyle w:val="Heading1"/>
      </w:pPr>
      <w:r>
        <w:t>5. Prioritization Logic</w:t>
      </w:r>
    </w:p>
    <w:p>
      <w:r>
        <w:t>Initiatives are prioritized using four dimensions: impact, feasibility, speed and confidence. This prevents the largest theoretical savings number from automatically becoming the first implementation priority.</w:t>
      </w:r>
    </w:p>
    <w:p>
      <w:pPr>
        <w:pStyle w:val="ListBullet"/>
      </w:pPr>
      <w:r>
        <w:t>Priority 1: initiatives with strong value and practical execution path.</w:t>
      </w:r>
    </w:p>
    <w:p>
      <w:pPr>
        <w:pStyle w:val="ListBullet"/>
      </w:pPr>
      <w:r>
        <w:t>Priority 2: initiatives requiring additional validation or cross-functional dependencies.</w:t>
      </w:r>
    </w:p>
    <w:p>
      <w:pPr>
        <w:pStyle w:val="ListBullet"/>
      </w:pPr>
      <w:r>
        <w:t>Priority 3: initiatives with lower confidence or higher execution complexity.</w:t>
      </w:r>
    </w:p>
    <w:p>
      <w:pPr>
        <w:pStyle w:val="Heading1"/>
      </w:pPr>
      <w:r>
        <w:t>6.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Phase</w:t>
            </w:r>
          </w:p>
        </w:tc>
        <w:tc>
          <w:tcPr>
            <w:tcW w:type="dxa" w:w="5040"/>
          </w:tcPr>
          <w:p>
            <w:r>
              <w:t>Key actions</w:t>
            </w:r>
          </w:p>
        </w:tc>
      </w:tr>
      <w:tr>
        <w:tc>
          <w:tcPr>
            <w:tcW w:type="dxa" w:w="5040"/>
          </w:tcPr>
          <w:p>
            <w:r>
              <w:t>0–30 days</w:t>
            </w:r>
          </w:p>
        </w:tc>
        <w:tc>
          <w:tcPr>
            <w:tcW w:type="dxa" w:w="5040"/>
          </w:tcPr>
          <w:p>
            <w:r>
              <w:t>Validate baseline, benchmark supplier prices, review freight lanes, analyze inventory aging and policies.</w:t>
            </w:r>
          </w:p>
        </w:tc>
      </w:tr>
      <w:tr>
        <w:tc>
          <w:tcPr>
            <w:tcW w:type="dxa" w:w="5040"/>
          </w:tcPr>
          <w:p>
            <w:r>
              <w:t>31–60 days</w:t>
            </w:r>
          </w:p>
        </w:tc>
        <w:tc>
          <w:tcPr>
            <w:tcW w:type="dxa" w:w="5040"/>
          </w:tcPr>
          <w:p>
            <w:r>
              <w:t>Run sourcing events, negotiate priority categories, tender freight and redesign inventory parameters.</w:t>
            </w:r>
          </w:p>
        </w:tc>
      </w:tr>
      <w:tr>
        <w:tc>
          <w:tcPr>
            <w:tcW w:type="dxa" w:w="5040"/>
          </w:tcPr>
          <w:p>
            <w:r>
              <w:t>61–90 days</w:t>
            </w:r>
          </w:p>
        </w:tc>
        <w:tc>
          <w:tcPr>
            <w:tcW w:type="dxa" w:w="5040"/>
          </w:tcPr>
          <w:p>
            <w:r>
              <w:t>Award suppliers/carriers, implement approved changes, launch pilots and track realized savings.</w:t>
            </w:r>
          </w:p>
        </w:tc>
      </w:tr>
      <w:tr>
        <w:tc>
          <w:tcPr>
            <w:tcW w:type="dxa" w:w="5040"/>
          </w:tcPr>
          <w:p>
            <w:r>
              <w:t>3–12 months</w:t>
            </w:r>
          </w:p>
        </w:tc>
        <w:tc>
          <w:tcPr>
            <w:tcW w:type="dxa" w:w="5040"/>
          </w:tcPr>
          <w:p>
            <w:r>
              <w:t>Scale validated initiatives, institutionalize governance and refresh the savings pipeline.</w:t>
            </w:r>
          </w:p>
        </w:tc>
      </w:tr>
    </w:tbl>
    <w:p>
      <w:pPr>
        <w:pStyle w:val="Heading1"/>
      </w:pPr>
      <w:r>
        <w:t>7. Governance &amp; KPI Framework</w:t>
      </w:r>
    </w:p>
    <w:p>
      <w:pPr>
        <w:pStyle w:val="ListBullet"/>
      </w:pPr>
      <w:r>
        <w:t>Procurement: unit-price variance, realized savings, supplier concentration.</w:t>
      </w:r>
    </w:p>
    <w:p>
      <w:pPr>
        <w:pStyle w:val="ListBullet"/>
      </w:pPr>
      <w:r>
        <w:t>Logistics: ₹/shipment, freight cost per unit, carrier performance, lane utilization.</w:t>
      </w:r>
    </w:p>
    <w:p>
      <w:pPr>
        <w:pStyle w:val="ListBullet"/>
      </w:pPr>
      <w:r>
        <w:t>Inventory: inventory value, turns, carrying cost, service level, slow-moving stock.</w:t>
      </w:r>
    </w:p>
    <w:p>
      <w:pPr>
        <w:pStyle w:val="ListBullet"/>
      </w:pPr>
      <w:r>
        <w:t>Finance: gross savings, implementation cost, net savings and realized-vs-forecast benefits.</w:t>
      </w:r>
    </w:p>
    <w:p>
      <w:pPr>
        <w:pStyle w:val="Heading1"/>
      </w:pPr>
      <w:r>
        <w:t>8. Key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Risk</w:t>
            </w:r>
          </w:p>
        </w:tc>
        <w:tc>
          <w:tcPr>
            <w:tcW w:type="dxa" w:w="5040"/>
          </w:tcPr>
          <w:p>
            <w:r>
              <w:t>Mitigation</w:t>
            </w:r>
          </w:p>
        </w:tc>
      </w:tr>
      <w:tr>
        <w:tc>
          <w:tcPr>
            <w:tcW w:type="dxa" w:w="5040"/>
          </w:tcPr>
          <w:p>
            <w:r>
              <w:t>Savings not realized</w:t>
            </w:r>
          </w:p>
        </w:tc>
        <w:tc>
          <w:tcPr>
            <w:tcW w:type="dxa" w:w="5040"/>
          </w:tcPr>
          <w:p>
            <w:r>
              <w:t>Finance validation and monthly benefit tracking</w:t>
            </w:r>
          </w:p>
        </w:tc>
      </w:tr>
      <w:tr>
        <w:tc>
          <w:tcPr>
            <w:tcW w:type="dxa" w:w="5040"/>
          </w:tcPr>
          <w:p>
            <w:r>
              <w:t>Supplier disruption</w:t>
            </w:r>
          </w:p>
        </w:tc>
        <w:tc>
          <w:tcPr>
            <w:tcW w:type="dxa" w:w="5040"/>
          </w:tcPr>
          <w:p>
            <w:r>
              <w:t>Dual sourcing / contingency suppliers where required</w:t>
            </w:r>
          </w:p>
        </w:tc>
      </w:tr>
      <w:tr>
        <w:tc>
          <w:tcPr>
            <w:tcW w:type="dxa" w:w="5040"/>
          </w:tcPr>
          <w:p>
            <w:r>
              <w:t>Service-level deterioration</w:t>
            </w:r>
          </w:p>
        </w:tc>
        <w:tc>
          <w:tcPr>
            <w:tcW w:type="dxa" w:w="5040"/>
          </w:tcPr>
          <w:p>
            <w:r>
              <w:t>Savings cannot be counted if customer service worsens</w:t>
            </w:r>
          </w:p>
        </w:tc>
      </w:tr>
      <w:tr>
        <w:tc>
          <w:tcPr>
            <w:tcW w:type="dxa" w:w="5040"/>
          </w:tcPr>
          <w:p>
            <w:r>
              <w:t>Inventory stock-outs</w:t>
            </w:r>
          </w:p>
        </w:tc>
        <w:tc>
          <w:tcPr>
            <w:tcW w:type="dxa" w:w="5040"/>
          </w:tcPr>
          <w:p>
            <w:r>
              <w:t>Pilot parameter changes and monitor service levels</w:t>
            </w:r>
          </w:p>
        </w:tc>
      </w:tr>
      <w:tr>
        <w:tc>
          <w:tcPr>
            <w:tcW w:type="dxa" w:w="5040"/>
          </w:tcPr>
          <w:p>
            <w:r>
              <w:t>Change resistance</w:t>
            </w:r>
          </w:p>
        </w:tc>
        <w:tc>
          <w:tcPr>
            <w:tcW w:type="dxa" w:w="5040"/>
          </w:tcPr>
          <w:p>
            <w:r>
              <w:t>Clear owners, targets and governance cadence</w:t>
            </w:r>
          </w:p>
        </w:tc>
      </w:tr>
    </w:tbl>
    <w:p>
      <w:pPr>
        <w:pStyle w:val="Heading1"/>
      </w:pPr>
      <w:r>
        <w:t>9. Management Recommendation</w:t>
      </w:r>
    </w:p>
    <w:p>
      <w:r>
        <w:t>Launch a 90-day cost-transformation program focused first on high-confidence procurement, freight and inventory opportunities. Validate savings before recognizing them financially, protect service and quality, and maintain a rolling pipeline of additional opportunities.</w:t>
      </w:r>
    </w:p>
    <w:p>
      <w:pPr>
        <w:pStyle w:val="Heading1"/>
      </w:pPr>
      <w:r>
        <w:t>10. Disclosure</w:t>
      </w:r>
    </w:p>
    <w:p>
      <w:r>
        <w:t>This is a synthetic portfolio case. Spend, supplier, freight, inventory, savings and operating assumptions are illustrative and are not representations of a real company's confidential data or actual performance.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