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spacing w:after="0"/>
        <w:jc w:val="both"/>
        <w:rPr>
          <w:rFonts w:ascii="Bookman Old Style" w:hAnsi="Bookman Old Style"/>
          <w:b w:val="1"/>
          <w:bCs w:val="1"/>
          <w:sz w:val="24"/>
          <w:szCs w:val="24"/>
          <w:u w:val="single"/>
        </w:rPr>
      </w:pPr>
    </w:p>
    <w:p>
      <w:pPr>
        <w:pStyle w:val="Body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2"/>
          <w:szCs w:val="12"/>
        </w:rPr>
      </w:pP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"/>
        <w:spacing w:after="0" w:line="240" w:lineRule="auto"/>
        <w:ind w:left="720" w:firstLine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The Nodal Officer</w:t>
      </w:r>
    </w:p>
    <w:p>
      <w:pPr>
        <w:pStyle w:val="Body"/>
        <w:spacing w:after="0" w:line="240" w:lineRule="auto"/>
        <w:ind w:left="720" w:firstLine="0"/>
        <w:jc w:val="both"/>
      </w:pPr>
      <w:r>
        <w:rPr>
          <w:rFonts w:ascii="Bookman Old Style" w:hAnsi="Bookman Old Style"/>
          <w:sz w:val="20"/>
          <w:szCs w:val="20"/>
          <w:rtl w:val="0"/>
        </w:rPr>
        <w:t xml:space="preserve">    Punjab National</w:t>
      </w:r>
      <w:r>
        <w:rPr>
          <w:rtl w:val="0"/>
          <w:lang w:val="de-DE"/>
        </w:rPr>
        <w:t xml:space="preserve"> Bank </w:t>
      </w:r>
    </w:p>
    <w:p>
      <w:pPr>
        <w:pStyle w:val="Body"/>
      </w:pPr>
      <w:r>
        <w:rPr>
          <w:rtl w:val="0"/>
        </w:rPr>
        <w:t xml:space="preserve">                </w:t>
      </w:r>
    </w:p>
    <w:p>
      <w:pPr>
        <w:pStyle w:val="Body"/>
        <w:spacing w:after="0" w:line="240" w:lineRule="auto"/>
        <w:ind w:left="990" w:hanging="27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"/>
        <w:spacing w:after="0" w:line="240" w:lineRule="auto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ind w:firstLine="720"/>
        <w:rPr>
          <w:rStyle w:val="Link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color="000000"/>
          <w14:textFill>
            <w14:solidFill>
              <w14:srgbClr w14:val="000000"/>
            </w14:solidFill>
          </w14:textFill>
        </w:rPr>
      </w:pPr>
      <w:r>
        <w:rPr>
          <w:rStyle w:val="Link"/>
          <w:rFonts w:ascii="Bookman Old Style" w:hAnsi="Bookman Old Style"/>
          <w:outline w:val="0"/>
          <w:color w:val="000000"/>
          <w:sz w:val="20"/>
          <w:szCs w:val="20"/>
          <w:u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"/>
        <w:shd w:val="clear" w:color="auto" w:fill="ffffff"/>
        <w:spacing w:after="0" w:line="240" w:lineRule="auto"/>
        <w:jc w:val="center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8"/>
          <w:szCs w:val="28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sz w:val="28"/>
          <w:szCs w:val="28"/>
          <w:u w:val="single"/>
          <w:rtl w:val="0"/>
          <w:lang w:val="en-US"/>
        </w:rPr>
        <w:t>Notice u/s 94 BNSS, 2023</w:t>
      </w:r>
    </w:p>
    <w:p/>
    <w:p>
      <w:pPr>
        <w:pStyle w:val="Body"/>
        <w:spacing w:before="240" w:after="0" w:line="240" w:lineRule="auto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"/>
        <w:spacing w:after="0" w:line="240" w:lineRule="auto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"/>
        <w:spacing w:after="0"/>
        <w:jc w:val="both"/>
        <w:rPr>
          <w:sz w:val="20"/>
          <w:szCs w:val="20"/>
        </w:rPr>
      </w:pPr>
      <w:r>
        <w:rPr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</w:t>
      </w:r>
      <w:r>
        <w:rPr>
          <w:rFonts w:ascii="Bookman Old Style" w:hAnsi="Bookman Old Style"/>
          <w:sz w:val="20"/>
          <w:szCs w:val="20"/>
          <w:rtl w:val="0"/>
          <w:lang w:val="en-US"/>
        </w:rPr>
        <w:t>cheque withdrawal</w:t>
      </w:r>
      <w:r>
        <w:rPr>
          <w:rFonts w:ascii="Bookman Old Style" w:hAnsi="Bookman Old Style"/>
          <w:sz w:val="20"/>
          <w:szCs w:val="20"/>
          <w:rtl w:val="0"/>
          <w:lang w:val="en-US"/>
        </w:rPr>
        <w:t>. The details of transaction are as under: -</w:t>
      </w:r>
    </w:p>
    <w:p>
      <w:pPr>
        <w:pStyle w:val="Body"/>
        <w:spacing w:after="0"/>
        <w:jc w:val="both"/>
        <w:rPr>
          <w:sz w:val="4"/>
          <w:szCs w:val="4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6"/>
          <w:szCs w:val="6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744" w:type="dxa"/>
        <w:jc w:val="left"/>
        <w:tblInd w:w="7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2259"/>
        <w:gridCol w:w="993"/>
        <w:gridCol w:w="1842"/>
        <w:gridCol w:w="1843"/>
        <w:gridCol w:w="1276"/>
      </w:tblGrid>
      <w:tr>
        <w:tblPrEx>
          <w:shd w:val="clear" w:color="auto" w:fill="cad1d7"/>
        </w:tblPrEx>
        <w:trPr>
          <w:trHeight w:val="45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2259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993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Cheque no. 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IFSC Code</w:t>
            </w:r>
          </w:p>
        </w:tc>
        <w:tc>
          <w:tcPr>
            <w:tcW w:type="dxa" w:w="1843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160" w:line="235" w:lineRule="atLeast"/>
            </w:pPr>
            <w:r>
              <w:rPr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30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1.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6636000100066495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253911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PUNB0663600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02/06/2025 12:55:PM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5,00,000.00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  <w:tr>
        <w:tblPrEx>
          <w:shd w:val="clear" w:color="auto" w:fill="cad1d7"/>
        </w:tblPrEx>
        <w:trPr>
          <w:trHeight w:val="74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/>
              <w:jc w:val="both"/>
            </w:pPr>
            <w:r>
              <w:rPr>
                <w:rFonts w:ascii="Bookman Old Style" w:hAnsi="Bookman Old Style"/>
                <w:sz w:val="18"/>
                <w:szCs w:val="18"/>
                <w:shd w:val="nil" w:color="auto" w:fill="auto"/>
                <w:rtl w:val="0"/>
                <w:lang w:val="en-US"/>
              </w:rPr>
              <w:t>2.</w:t>
            </w:r>
          </w:p>
        </w:tc>
        <w:tc>
          <w:tcPr>
            <w:tcW w:type="dxa" w:w="225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3463000101812610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99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639083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PUNB0984100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843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23/05/2025 11:27:AM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"/>
              <w:spacing w:after="0" w:line="240" w:lineRule="auto"/>
            </w:pP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4,96,000.00</w:t>
            </w:r>
            <w:r>
              <w:rPr>
                <w:rFonts w:ascii="Calibri" w:cs="Calibri" w:hAnsi="Calibri" w:eastAsia="Calibri"/>
                <w:shd w:val="nil" w:color="auto" w:fill="auto"/>
              </w:rPr>
            </w:r>
          </w:p>
        </w:tc>
      </w:tr>
    </w:tbl>
    <w:p>
      <w:pPr>
        <w:pStyle w:val="Body"/>
        <w:widowControl w:val="0"/>
        <w:spacing w:after="0" w:line="240" w:lineRule="auto"/>
        <w:ind w:left="602" w:hanging="602"/>
        <w:jc w:val="both"/>
        <w:rPr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"/>
        <w:spacing w:after="0"/>
        <w:ind w:firstLine="720"/>
        <w:jc w:val="both"/>
        <w:rPr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"/>
        <w:shd w:val="clear" w:color="auto" w:fill="ffffff"/>
        <w:spacing w:after="0" w:line="240" w:lineRule="auto"/>
        <w:ind w:left="1440" w:firstLine="0"/>
        <w:jc w:val="both"/>
        <w:rPr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above-mentioned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above-mentioned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above-mentioned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"/>
        <w:tabs>
          <w:tab w:val="left" w:pos="270"/>
        </w:tabs>
        <w:spacing w:after="0"/>
        <w:jc w:val="both"/>
        <w:rPr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Body"/>
        <w:spacing w:after="0"/>
        <w:jc w:val="both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"/>
        <w:spacing w:after="0"/>
        <w:rPr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"/>
        <w:spacing w:after="0"/>
        <w:ind w:left="6480" w:firstLine="0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  <w:lang w:val="en-US"/>
        </w:rPr>
        <w:t>Intelligence Fusion and Strategic Operations (IFSO)</w:t>
      </w:r>
    </w:p>
    <w:p>
      <w:pPr>
        <w:pStyle w:val="Body"/>
        <w:spacing w:after="0"/>
        <w:ind w:left="720" w:firstLine="0"/>
        <w:jc w:val="right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"/>
        <w:spacing w:after="0"/>
        <w:ind w:left="720" w:firstLine="0"/>
        <w:jc w:val="right"/>
      </w:pPr>
      <w:r>
        <w:rPr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r>
        <w:rPr>
          <w:kern w:val="2"/>
          <w:sz w:val="24"/>
          <w:szCs w:val="24"/>
        </w:rPr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character" w:styleId="Link">
    <w:name w:val="Link"/>
    <w:rPr>
      <w:outline w:val="0"/>
      <w:color w:val="467886"/>
      <w:u w:val="single" w:color="467886"/>
      <w14:textFill>
        <w14:solidFill>
          <w14:srgbClr w14:val="467886"/>
        </w14:solidFill>
      </w14:textFill>
    </w:rPr>
  </w:style>
  <w:style w:type="character" w:styleId="Hyperlink.0">
    <w:name w:val="Hyperlink.0"/>
    <w:basedOn w:val="Link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905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Aptos"/>
            <a:ea typeface="Aptos"/>
            <a:cs typeface="Aptos"/>
            <a:sym typeface="Aptos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