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8"/>
          <w:szCs w:val="28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sz w:val="28"/>
          <w:szCs w:val="28"/>
          <w:u w:val="single"/>
          <w:rtl w:val="0"/>
          <w:lang w:val="en-US"/>
        </w:rPr>
        <w:t>Notice u/s 94 BNSS, 2023</w:t>
      </w:r>
    </w:p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cheque withdrawal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744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  <w:gridCol w:w="1276"/>
      </w:tblGrid>
      <w:tr>
        <w:tblPrEx>
          <w:shd w:val="clear" w:color="auto" w:fill="cad1d7"/>
        </w:tblPrEx>
        <w:trPr>
          <w:trHeight w:val="45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Cheque no. 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5,00,000.00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4,96,000.00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