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Qayyem — Weekly Update, Academic Week 7</w:t>
      </w:r>
    </w:p>
    <w:p>
      <w:pPr>
        <w:spacing w:after="20" w:before="0" w:line="252"/>
      </w:pPr>
      <w:r>
        <w:rPr>
          <w:rFonts w:ascii="Cambria" w:cs="Cambria" w:eastAsia="Cambria" w:hAnsi="Cambria"/>
          <w:b/>
          <w:bCs/>
          <w:color w:val="3F3F3F"/>
          <w:sz w:val="20"/>
          <w:szCs w:val="20"/>
        </w:rPr>
        <w:t xml:space="preserve">Week:</w:t>
      </w:r>
      <w:r>
        <w:rPr>
          <w:rFonts w:ascii="Cambria" w:cs="Cambria" w:eastAsia="Cambria" w:hAnsi="Cambria"/>
          <w:color w:val="3F3F3F"/>
          <w:sz w:val="20"/>
          <w:szCs w:val="20"/>
        </w:rPr>
        <w:t xml:space="preserve"> 11–15 October 2026</w:t>
      </w:r>
    </w:p>
    <w:p>
      <w:pPr>
        <w:spacing w:after="20" w:before="0" w:line="252"/>
      </w:pPr>
      <w:r>
        <w:rPr>
          <w:rFonts w:ascii="Cambria" w:cs="Cambria" w:eastAsia="Cambria" w:hAnsi="Cambria"/>
          <w:b/>
          <w:bCs/>
          <w:color w:val="3F3F3F"/>
          <w:sz w:val="20"/>
          <w:szCs w:val="20"/>
        </w:rPr>
        <w:t xml:space="preserve">Prepared by:</w:t>
      </w:r>
      <w:r>
        <w:rPr>
          <w:rFonts w:ascii="Cambria" w:cs="Cambria" w:eastAsia="Cambria" w:hAnsi="Cambria"/>
          <w:color w:val="3F3F3F"/>
          <w:sz w:val="20"/>
          <w:szCs w:val="20"/>
        </w:rPr>
        <w:t xml:space="preserve"> Saif Amro Ibrahim (Team Leader)</w:t>
      </w:r>
    </w:p>
    <w:p>
      <w:pPr>
        <w:spacing w:after="60" w:before="0" w:line="252"/>
      </w:pPr>
      <w:r>
        <w:rPr>
          <w:rFonts w:ascii="Cambria" w:cs="Cambria" w:eastAsia="Cambria" w:hAnsi="Cambria"/>
          <w:b/>
          <w:bCs/>
          <w:color w:val="3F3F3F"/>
          <w:sz w:val="20"/>
          <w:szCs w:val="20"/>
        </w:rPr>
        <w:t xml:space="preserve">Submitted to:</w:t>
      </w:r>
      <w:r>
        <w:rPr>
          <w:rFonts w:ascii="Cambria" w:cs="Cambria" w:eastAsia="Cambria" w:hAnsi="Cambria"/>
          <w:color w:val="3F3F3F"/>
          <w:sz w:val="20"/>
          <w:szCs w:val="20"/>
        </w:rPr>
        <w:t xml:space="preserve"> Project Supervisor, via Blackboard</w:t>
      </w:r>
    </w:p>
    <w:p>
      <w:pPr>
        <w:pBdr>
          <w:bottom w:val="single" w:color="000000" w:sz="8" w:space="1"/>
        </w:pBdr>
        <w:spacing w:after="60" w:before="0"/>
      </w:pPr>
      <w:r>
        <w:rPr>
          <w:rFonts w:ascii="Cambria" w:cs="Cambria" w:eastAsia="Cambria" w:hAnsi="Cambria"/>
          <w:sz w:val="2"/>
          <w:szCs w:val="2"/>
        </w:rPr>
        <w:t xml:space="preserve"/>
      </w:r>
    </w:p>
    <w:p>
      <w:pPr>
        <w:pStyle w:val="Heading1"/>
        <w:keepNext/>
        <w:spacing w:after="130" w:before="36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Focus this week</w:t>
      </w:r>
    </w:p>
    <w:p>
      <w:pPr>
        <w:spacing w:after="160" w:before="0" w:line="276"/>
        <w:jc w:val="left"/>
      </w:pPr>
      <w:r>
        <w:rPr>
          <w:rFonts w:ascii="Cambria" w:cs="Cambria" w:eastAsia="Cambria" w:hAnsi="Cambria"/>
          <w:sz w:val="22"/>
          <w:szCs w:val="22"/>
        </w:rPr>
        <w:t xml:space="preserve">Mobilise for the implementation phase: stand up the GitHub repository the supervisor asked for, fix roles, turn the remaining backlog into assigned issues, and start the two items that sit on the critical path — backend security close-out and hand-marking the evaluation set.</w:t>
      </w:r>
    </w:p>
    <w:p>
      <w:pPr>
        <w:spacing w:after="160" w:before="0" w:line="276"/>
        <w:jc w:val="left"/>
      </w:pPr>
      <w:r>
        <w:rPr>
          <w:rFonts w:ascii="Cambria" w:cs="Cambria" w:eastAsia="Cambria" w:hAnsi="Cambria"/>
          <w:sz w:val="22"/>
          <w:szCs w:val="22"/>
        </w:rPr>
        <w:t xml:space="preserve">The team confirmed its sequencing: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finish and harden the backend first, keeping the current interface as a preliminary shape, then rebuild the frontend properly and give it a proper visual design.</w:t>
      </w:r>
      <w:r>
        <w:rPr>
          <w:rFonts w:ascii="Cambria" w:cs="Cambria" w:eastAsia="Cambria" w:hAnsi="Cambria"/>
          <w:sz w:val="22"/>
          <w:szCs w:val="22"/>
        </w:rPr>
        <w:t xml:space="preserve"> The plan is phased accordingly — backend W7–W8, frontend W9–W11, report and defense W12–W14, with a hard backend freeze at the end of Week 8 (</w:t>
      </w:r>
      <w:r>
        <w:rPr>
          <w:rFonts w:ascii="Consolas" w:cs="Consolas" w:eastAsia="Consolas" w:hAnsi="Consolas"/>
          <w:sz w:val="22"/>
          <w:szCs w:val="22"/>
        </w:rPr>
        <w:t xml:space="preserve">IMPLEMENTATION_PLAN.md</w:t>
      </w:r>
      <w:r>
        <w:rPr>
          <w:rFonts w:ascii="Cambria" w:cs="Cambria" w:eastAsia="Cambria" w:hAnsi="Cambria"/>
          <w:sz w:val="22"/>
          <w:szCs w:val="22"/>
        </w:rPr>
        <w:t xml:space="preserve"> §3.1).</w:t>
      </w:r>
    </w:p>
    <w:p>
      <w:pPr>
        <w:spacing w:after="160" w:before="0" w:line="276"/>
        <w:jc w:val="left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Submission and defense: Tuesday 1 December 2026 — eight working weeks from now.</w:t>
      </w:r>
    </w:p>
    <w:p>
      <w:pPr>
        <w:pStyle w:val="Heading1"/>
        <w:keepNext/>
        <w:spacing w:after="130" w:before="36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Completed this week</w:t>
      </w:r>
    </w:p>
    <w:tbl>
      <w:tblPr>
        <w:tblW w:type="dxa" w:w="930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C9C9C9" w:sz="2"/>
          <w:insideV w:val="none" w:color="FFFFFF" w:sz="0"/>
        </w:tblBorders>
      </w:tblPr>
      <w:tblGrid>
        <w:gridCol w:w="2092"/>
        <w:gridCol w:w="1456"/>
        <w:gridCol w:w="2473"/>
        <w:gridCol w:w="3285"/>
      </w:tblGrid>
      <w:tr>
        <w:trPr>
          <w:cantSplit/>
          <w:tblHeader/>
        </w:trPr>
        <w:tc>
          <w:tcPr>
            <w:tcW w:type="dxa" w:w="2092"/>
            <w:tcBorders>
              <w:bottom w:val="single" w:color="000000" w:sz="4"/>
            </w:tcBorders>
            <w:tcMar>
              <w:top w:type="dxa" w:w="5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Member</w:t>
            </w:r>
          </w:p>
        </w:tc>
        <w:tc>
          <w:tcPr>
            <w:tcW w:type="dxa" w:w="1456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WP</w:t>
            </w:r>
          </w:p>
        </w:tc>
        <w:tc>
          <w:tcPr>
            <w:tcW w:type="dxa" w:w="2473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What was delivered</w:t>
            </w:r>
          </w:p>
        </w:tc>
        <w:tc>
          <w:tcPr>
            <w:tcW w:type="dxa" w:w="3285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Evidence (PR / issue / commit)</w:t>
            </w:r>
          </w:p>
        </w:tc>
      </w:tr>
      <w:tr>
        <w:trPr>
          <w:cantSplit/>
        </w:trPr>
        <w:tc>
          <w:tcPr>
            <w:tcW w:type="dxa" w:w="2092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Saif</w:t>
            </w:r>
          </w:p>
        </w:tc>
        <w:tc>
          <w:tcPr>
            <w:tcW w:type="dxa" w:w="145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WP0</w:t>
            </w:r>
          </w:p>
        </w:tc>
        <w:tc>
          <w:tcPr>
            <w:tcW w:type="dxa" w:w="247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28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2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Houmood</w:t>
            </w:r>
          </w:p>
        </w:tc>
        <w:tc>
          <w:tcPr>
            <w:tcW w:type="dxa" w:w="145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WP1</w:t>
            </w:r>
          </w:p>
        </w:tc>
        <w:tc>
          <w:tcPr>
            <w:tcW w:type="dxa" w:w="247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28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2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Meshari</w:t>
            </w:r>
          </w:p>
        </w:tc>
        <w:tc>
          <w:tcPr>
            <w:tcW w:type="dxa" w:w="145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WP2</w:t>
            </w:r>
          </w:p>
        </w:tc>
        <w:tc>
          <w:tcPr>
            <w:tcW w:type="dxa" w:w="247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28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2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Salman</w:t>
            </w:r>
          </w:p>
        </w:tc>
        <w:tc>
          <w:tcPr>
            <w:tcW w:type="dxa" w:w="145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WP3</w:t>
            </w:r>
          </w:p>
        </w:tc>
        <w:tc>
          <w:tcPr>
            <w:tcW w:type="dxa" w:w="247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28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2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Mohammed</w:t>
            </w:r>
          </w:p>
        </w:tc>
        <w:tc>
          <w:tcPr>
            <w:tcW w:type="dxa" w:w="145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WP4</w:t>
            </w:r>
          </w:p>
        </w:tc>
        <w:tc>
          <w:tcPr>
            <w:tcW w:type="dxa" w:w="247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28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2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Sultan</w:t>
            </w:r>
          </w:p>
        </w:tc>
        <w:tc>
          <w:tcPr>
            <w:tcW w:type="dxa" w:w="145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WP5</w:t>
            </w:r>
          </w:p>
        </w:tc>
        <w:tc>
          <w:tcPr>
            <w:tcW w:type="dxa" w:w="247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28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</w:tbl>
    <w:p>
      <w:pPr>
        <w:spacing w:after="190" w:before="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6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Planned for next week (Academic Week 8, 18–22 Oct)</w:t>
      </w:r>
    </w:p>
    <w:tbl>
      <w:tblPr>
        <w:tblW w:type="dxa" w:w="930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C9C9C9" w:sz="2"/>
          <w:insideV w:val="none" w:color="FFFFFF" w:sz="0"/>
        </w:tblBorders>
      </w:tblPr>
      <w:tblGrid>
        <w:gridCol w:w="926"/>
        <w:gridCol w:w="644"/>
        <w:gridCol w:w="4901"/>
        <w:gridCol w:w="2835"/>
      </w:tblGrid>
      <w:tr>
        <w:trPr>
          <w:cantSplit/>
          <w:tblHeader/>
        </w:trPr>
        <w:tc>
          <w:tcPr>
            <w:tcW w:type="dxa" w:w="926"/>
            <w:tcBorders>
              <w:bottom w:val="single" w:color="000000" w:sz="4"/>
            </w:tcBorders>
            <w:tcMar>
              <w:top w:type="dxa" w:w="5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Member</w:t>
            </w:r>
          </w:p>
        </w:tc>
        <w:tc>
          <w:tcPr>
            <w:tcW w:type="dxa" w:w="644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WP</w:t>
            </w:r>
          </w:p>
        </w:tc>
        <w:tc>
          <w:tcPr>
            <w:tcW w:type="dxa" w:w="4901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2835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926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Saif</w:t>
            </w:r>
          </w:p>
        </w:tc>
        <w:tc>
          <w:tcPr>
            <w:tcW w:type="dxa" w:w="64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WP0</w:t>
            </w:r>
          </w:p>
        </w:tc>
        <w:tc>
          <w:tcPr>
            <w:tcW w:type="dxa" w:w="4901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Issue triage; review queue under 24h; </w:t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run the backend freeze review on Thursday</w:t>
            </w:r>
          </w:p>
        </w:tc>
        <w:tc>
          <w:tcPr>
            <w:tcW w:type="dxa" w:w="28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Freeze signed off or remainder moved to Future Work</w:t>
            </w:r>
          </w:p>
        </w:tc>
      </w:tr>
      <w:tr>
        <w:trPr>
          <w:cantSplit/>
        </w:trPr>
        <w:tc>
          <w:tcPr>
            <w:tcW w:type="dxa" w:w="926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Houmood</w:t>
            </w:r>
          </w:p>
        </w:tc>
        <w:tc>
          <w:tcPr>
            <w:tcW w:type="dxa" w:w="64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WP1</w:t>
            </w:r>
          </w:p>
        </w:tc>
        <w:tc>
          <w:tcPr>
            <w:tcW w:type="dxa" w:w="4901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Complete the second marking pass; write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evaluation/evaluate.py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; report inter-marker agreement</w:t>
            </w:r>
          </w:p>
        </w:tc>
        <w:tc>
          <w:tcPr>
            <w:tcW w:type="dxa" w:w="28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Gold-standard set committed (</w:t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M2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26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Meshari</w:t>
            </w:r>
          </w:p>
        </w:tc>
        <w:tc>
          <w:tcPr>
            <w:tcW w:type="dxa" w:w="64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WP2</w:t>
            </w:r>
          </w:p>
        </w:tc>
        <w:tc>
          <w:tcPr>
            <w:tcW w:type="dxa" w:w="4901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Retention-purge audit, error-handling pass, ER diagram, PDPL mapping</w:t>
            </w:r>
          </w:p>
        </w:tc>
        <w:tc>
          <w:tcPr>
            <w:tcW w:type="dxa" w:w="28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WP2 complete at the freeze</w:t>
            </w:r>
          </w:p>
        </w:tc>
      </w:tr>
      <w:tr>
        <w:trPr>
          <w:cantSplit/>
        </w:trPr>
        <w:tc>
          <w:tcPr>
            <w:tcW w:type="dxa" w:w="926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Salman</w:t>
            </w:r>
          </w:p>
        </w:tc>
        <w:tc>
          <w:tcPr>
            <w:tcW w:type="dxa" w:w="64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WP3</w:t>
            </w:r>
          </w:p>
        </w:tc>
        <w:tc>
          <w:tcPr>
            <w:tcW w:type="dxa" w:w="4901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Finish mockups for all screens; </w:t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run the mockup usability test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; agree the build plan</w:t>
            </w:r>
          </w:p>
        </w:tc>
        <w:tc>
          <w:tcPr>
            <w:tcW w:type="dxa" w:w="28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Findings written up before the rebuild starts</w:t>
            </w:r>
          </w:p>
        </w:tc>
      </w:tr>
      <w:tr>
        <w:trPr>
          <w:cantSplit/>
        </w:trPr>
        <w:tc>
          <w:tcPr>
            <w:tcW w:type="dxa" w:w="926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Mohammed</w:t>
            </w:r>
          </w:p>
        </w:tc>
        <w:tc>
          <w:tcPr>
            <w:tcW w:type="dxa" w:w="64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WP4</w:t>
            </w:r>
          </w:p>
        </w:tc>
        <w:tc>
          <w:tcPr>
            <w:tcW w:type="dxa" w:w="4901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Edge-case and negative suite; finish the test plan</w:t>
            </w:r>
          </w:p>
        </w:tc>
        <w:tc>
          <w:tcPr>
            <w:tcW w:type="dxa" w:w="28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Committed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DOCUMENTS/</w:t>
            </w:r>
          </w:p>
        </w:tc>
      </w:tr>
      <w:tr>
        <w:trPr>
          <w:cantSplit/>
        </w:trPr>
        <w:tc>
          <w:tcPr>
            <w:tcW w:type="dxa" w:w="926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Sultan</w:t>
            </w:r>
          </w:p>
        </w:tc>
        <w:tc>
          <w:tcPr>
            <w:tcW w:type="dxa" w:w="64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WP5</w:t>
            </w:r>
          </w:p>
        </w:tc>
        <w:tc>
          <w:tcPr>
            <w:tcW w:type="dxa" w:w="4901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Chapter 1 complete; Chapter 2 drafting; 6+ sources logged</w:t>
            </w:r>
          </w:p>
        </w:tc>
        <w:tc>
          <w:tcPr>
            <w:tcW w:type="dxa" w:w="28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Ch.1 done</w:t>
            </w:r>
          </w:p>
        </w:tc>
      </w:tr>
    </w:tbl>
    <w:p>
      <w:pPr>
        <w:spacing w:after="190" w:before="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6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Blockers and risks</w:t>
      </w:r>
    </w:p>
    <w:tbl>
      <w:tblPr>
        <w:tblW w:type="dxa" w:w="930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C9C9C9" w:sz="2"/>
          <w:insideV w:val="none" w:color="FFFFFF" w:sz="0"/>
        </w:tblBorders>
      </w:tblPr>
      <w:tblGrid>
        <w:gridCol w:w="2235"/>
        <w:gridCol w:w="2418"/>
        <w:gridCol w:w="2235"/>
        <w:gridCol w:w="2418"/>
      </w:tblGrid>
      <w:tr>
        <w:trPr>
          <w:cantSplit/>
          <w:tblHeader/>
        </w:trPr>
        <w:tc>
          <w:tcPr>
            <w:tcW w:type="dxa" w:w="2235"/>
            <w:tcBorders>
              <w:bottom w:val="single" w:color="000000" w:sz="4"/>
            </w:tcBorders>
            <w:tcMar>
              <w:top w:type="dxa" w:w="5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Issue</w:t>
            </w:r>
          </w:p>
        </w:tc>
        <w:tc>
          <w:tcPr>
            <w:tcW w:type="dxa" w:w="2418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Impact</w:t>
            </w:r>
          </w:p>
        </w:tc>
        <w:tc>
          <w:tcPr>
            <w:tcW w:type="dxa" w:w="2235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Owner</w:t>
            </w:r>
          </w:p>
        </w:tc>
        <w:tc>
          <w:tcPr>
            <w:tcW w:type="dxa" w:w="2418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235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241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22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241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</w:tbl>
    <w:p>
      <w:pPr>
        <w:spacing w:after="190" w:before="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6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Milestone status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Next gate: M2 — backend freeze, Thursday 22 October.</w:t>
      </w:r>
      <w:r>
        <w:rPr>
          <w:rFonts w:ascii="Cambria" w:cs="Cambria" w:eastAsia="Cambria" w:hAnsi="Cambria"/>
          <w:sz w:val="22"/>
          <w:szCs w:val="22"/>
        </w:rPr>
        <w:t xml:space="preserve"> Days remaining: 12.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mbria" w:cs="Cambria" w:eastAsia="Cambria" w:hAnsi="Cambria"/>
          <w:sz w:val="22"/>
          <w:szCs w:val="22"/>
        </w:rPr>
        <w:t xml:space="preserve">Gate after that: M3 — first accuracy numbers and the new UI shell, 29 October.</w:t>
      </w:r>
    </w:p>
    <w:p>
      <w:pPr>
        <w:pStyle w:val="ListParagraph"/>
        <w:numPr>
          <w:ilvl w:val="0"/>
          <w:numId w:val="2"/>
        </w:numPr>
        <w:spacing w:after="160" w:before="0" w:line="276"/>
      </w:pPr>
      <w:r>
        <w:rPr>
          <w:rFonts w:ascii="Cambria" w:cs="Cambria" w:eastAsia="Cambria" w:hAnsi="Cambria"/>
          <w:sz w:val="22"/>
          <w:szCs w:val="22"/>
        </w:rPr>
        <w:t xml:space="preserve">Highest risk this week: the 100-answer marking pass (two markers) and WP2 landing inside two weeks. Both are tracked daily, not weekly.</w:t>
      </w:r>
    </w:p>
    <w:p>
      <w:pPr>
        <w:pStyle w:val="Heading1"/>
        <w:keepNext/>
        <w:spacing w:after="130" w:before="36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mbria" w:cs="Cambria" w:eastAsia="Cambria" w:hAnsi="Cambria"/>
          <w:sz w:val="22"/>
          <w:szCs w:val="22"/>
        </w:rPr>
        <w:t xml:space="preserve">Tests passing: 137 / 137 (baseline, verified 10 Oct)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mbria" w:cs="Cambria" w:eastAsia="Cambria" w:hAnsi="Cambria"/>
          <w:sz w:val="22"/>
          <w:szCs w:val="22"/>
        </w:rPr>
        <w:t xml:space="preserve">Open issues: — Closed this week: —</w:t>
      </w:r>
    </w:p>
    <w:p>
      <w:pPr>
        <w:pStyle w:val="ListParagraph"/>
        <w:numPr>
          <w:ilvl w:val="0"/>
          <w:numId w:val="2"/>
        </w:numPr>
        <w:spacing w:after="160" w:before="0" w:line="276"/>
      </w:pPr>
      <w:r>
        <w:rPr>
          <w:rFonts w:ascii="Cambria" w:cs="Cambria" w:eastAsia="Cambria" w:hAnsi="Cambria"/>
          <w:sz w:val="22"/>
          <w:szCs w:val="22"/>
        </w:rPr>
        <w:t xml:space="preserve">Commits this week, by member: —</w:t>
      </w:r>
    </w:p>
    <w:p>
      <w:pPr>
        <w:pStyle w:val="Heading1"/>
        <w:keepNext/>
        <w:spacing w:after="130" w:before="36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Questions for the supervisor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mbria" w:cs="Cambria" w:eastAsia="Cambria" w:hAnsi="Cambria"/>
          <w:sz w:val="22"/>
          <w:szCs w:val="22"/>
        </w:rPr>
        <w:t xml:space="preserve">Does the schedule in </w:t>
      </w:r>
      <w:r>
        <w:rPr>
          <w:rFonts w:ascii="Consolas" w:cs="Consolas" w:eastAsia="Consolas" w:hAnsi="Consolas"/>
          <w:sz w:val="22"/>
          <w:szCs w:val="22"/>
        </w:rPr>
        <w:t xml:space="preserve">IMPLEMENTATION_PLAN.md</w:t>
      </w:r>
      <w:r>
        <w:rPr>
          <w:rFonts w:ascii="Cambria" w:cs="Cambria" w:eastAsia="Cambria" w:hAnsi="Cambria"/>
          <w:sz w:val="22"/>
          <w:szCs w:val="22"/>
        </w:rPr>
        <w:t xml:space="preserve"> §11 match the official calendar? We have planned to Tuesday 1 December; if the term runs to 8 December we intend to use that week as rehearsal buffer rather than additional scope.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mbria" w:cs="Cambria" w:eastAsia="Cambria" w:hAnsi="Cambria"/>
          <w:sz w:val="22"/>
          <w:szCs w:val="22"/>
        </w:rPr>
        <w:t xml:space="preserve">We plan to keep the current interface as a placeholder until the backend freeze on 22 October, then rebuild the frontend in Weeks 9–11. Is that acceptable for any mid-semester review, given that a demonstration before Week 9 will show the preliminary interface?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mbria" w:cs="Cambria" w:eastAsia="Cambria" w:hAnsi="Cambria"/>
          <w:sz w:val="22"/>
          <w:szCs w:val="22"/>
        </w:rPr>
        <w:t xml:space="preserve">Is a gold-standard set of 100 hand-marked Arabic answers across 3 questions sufficient for the evaluation chapter?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mbria" w:cs="Cambria" w:eastAsia="Cambria" w:hAnsi="Cambria"/>
          <w:sz w:val="22"/>
          <w:szCs w:val="22"/>
        </w:rPr>
        <w:t xml:space="preserve">For the usability test in Week 8, may we approach faculty in the college directly, and is any approval needed before involving them?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mbria" w:cs="Cambria" w:eastAsia="Cambria" w:hAnsi="Cambria"/>
          <w:sz w:val="22"/>
          <w:szCs w:val="22"/>
        </w:rPr>
        <w:t xml:space="preserve">Should the repository be private until submission, or visible to the department throughout?</w:t>
      </w:r>
    </w:p>
    <w:p>
      <w:pPr>
        <w:pStyle w:val="ListParagraph"/>
        <w:numPr>
          <w:ilvl w:val="0"/>
          <w:numId w:val="3"/>
        </w:numPr>
        <w:spacing w:after="160" w:before="0" w:line="276"/>
      </w:pPr>
      <w:r>
        <w:rPr>
          <w:rFonts w:ascii="Cambria" w:cs="Cambria" w:eastAsia="Cambria" w:hAnsi="Cambria"/>
          <w:sz w:val="22"/>
          <w:szCs w:val="22"/>
        </w:rPr>
        <w:t xml:space="preserve">§3.2 of the plan records the scope we have trimmed to fit eight weeks. Could you confirm that none of those reductions affects a graded requirement?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3F3F3F"/>
        <w:sz w:val="19"/>
        <w:szCs w:val="1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50"/>
      </w:pPr>
    </w:lvl>
    <w:lvl w:ilvl="1" w:tentative="1">
      <w:start w:val="1"/>
      <w:numFmt w:val="bullet"/>
      <w:lvlText w:val="◦"/>
      <w:lvlJc w:val="left"/>
      <w:pPr>
        <w:ind w:left="700" w:hanging="250"/>
      </w:pPr>
    </w:lvl>
    <w:lvl w:ilvl="2" w:tentative="1">
      <w:start w:val="1"/>
      <w:numFmt w:val="bullet"/>
      <w:lvlText w:val="▪"/>
      <w:lvlJc w:val="left"/>
      <w:pPr>
        <w:ind w:left="104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90"/>
      </w:pPr>
    </w:lvl>
    <w:lvl w:ilvl="1" w:tentative="1">
      <w:start w:val="1"/>
      <w:numFmt w:val="decimal"/>
      <w:lvlText w:val="%2."/>
      <w:lvlJc w:val="left"/>
      <w:pPr>
        <w:ind w:left="700" w:hanging="290"/>
      </w:pPr>
    </w:lvl>
    <w:lvl w:ilvl="2" w:tentative="1">
      <w:start w:val="1"/>
      <w:numFmt w:val="decimal"/>
      <w:lvlText w:val="%3."/>
      <w:lvlJc w:val="left"/>
      <w:pPr>
        <w:ind w:left="104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Qayyem — Implementation Plan</dc:title>
  <dc:creator>Qayyem Team</dc:creator>
  <cp:lastModifiedBy>Un-named</cp:lastModifiedBy>
  <cp:revision>1</cp:revision>
  <dcterms:created xsi:type="dcterms:W3CDTF">2026-10-11T08:25:08.081Z</dcterms:created>
  <dcterms:modified xsi:type="dcterms:W3CDTF">2026-10-11T08:25:08.082Z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