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Khandaker Saifuzzaman</w:t>
      </w:r>
    </w:p>
    <w:p>
      <w:pPr>
        <w:spacing w:after="240"/>
      </w:pPr>
      <w:r>
        <w:t xml:space="preserve">School of Physics, Engineering and Computer Science</w:t>
      </w:r>
    </w:p>
    <w:p>
      <w:pPr>
        <w:spacing w:after="240"/>
      </w:pPr>
      <w:r>
        <w:t xml:space="preserve">University of Hertfordshire, Hatfield, United Kingdom</w:t>
      </w:r>
    </w:p>
    <w:p>
      <w:pPr>
        <w:spacing w:after="240"/>
      </w:pPr>
      <w:r>
        <w:t xml:space="preserve">kh.saif17@gmail.com | ORCID 0000-0001-6456-3652</w:t>
      </w:r>
    </w:p>
    <w:p>
      <w:pPr>
        <w:spacing w:after="240"/>
      </w:pPr>
      <w:r>
        <w:t xml:space="preserve">8 August 2026</w:t>
      </w:r>
    </w:p>
    <w:p>
      <w:pPr>
        <w:spacing w:after="240"/>
      </w:pPr>
      <w:r>
        <w:t xml:space="preserve">Editor-in-Chief</w:t>
      </w:r>
    </w:p>
    <w:p>
      <w:pPr>
        <w:spacing w:after="240"/>
      </w:pPr>
      <w:r>
        <w:t xml:space="preserve">International Journal of Machine Learning and Cybernetics</w:t>
      </w:r>
    </w:p>
    <w:p>
      <w:pPr>
        <w:spacing w:after="240"/>
      </w:pPr>
      <w:r>
        <w:t xml:space="preserve">Dear Editor,</w:t>
      </w:r>
    </w:p>
    <w:p>
      <w:pPr>
        <w:spacing w:after="240"/>
      </w:pPr>
      <w:r>
        <w:t xml:space="preserve">Please consider the enclosed manuscript, "Auditing Post-Hoc Explanations Against an Embedded Glass-Box Reference: A Heterogeneous Stacked-Ensemble Framework for Intrusion Detection", for publication in the International Journal of Machine Learning and Cybernetics as a full-length research article. The manuscript falls within the journal’s stated scope of trustworthy and explainable AI and machine learning for data-driven applications, and specifically addresses a methodological gap in how post-hoc explanations are validated inside deployed intelligent systems.</w:t>
      </w:r>
    </w:p>
    <w:p>
      <w:pPr>
        <w:spacing w:after="240"/>
      </w:pPr>
      <w:r>
        <w:t xml:space="preserve">Machine learning systems increasingly ship with post-hoc explanations attached to their predictions, but those explanations are themselves approximations that are rarely checked against any reference that is exact by construction. The manuscript presents an explanation-consistency framework that builds this check into the learner itself: a glass-box model, the Explainable Boosting Machine, is embedded as a base learner inside a heterogeneous stacked ensemble, so that post-hoc SHAP explanations can be audited against attributions that are exact by construction, at no additional inference cost. Because the base learners span three distinct learning paradigms (gradient boosting, extremely randomised bagging, and an additive glass-box model), the ensemble also recovers genuine diversity gains that a homogeneous voting ensemble of similar tree models fails to achieve — a methodological finding independent of the application domain.</w:t>
      </w:r>
    </w:p>
    <w:p>
      <w:pPr>
        <w:spacing w:after="240"/>
      </w:pPr>
      <w:r>
        <w:t xml:space="preserve">The framework is evaluated as a network intrusion detection case study on CICIDS-2017 and replicated by native retraining on UNSW-NB15 under a leak-controlled, fully paired protocol, so the explanation-consistency and ensemble-diversity results are shown to hold across two independently engineered feature-extraction toolchains rather than being an artefact of one dataset. The related-work discussion positions the contribution against explainable intrusion detection research published through 2025. The full pipeline and evaluation notebooks are publicly available at https://github.com/saif4224/glassbox-stacked-nids.</w:t>
      </w:r>
    </w:p>
    <w:p>
      <w:pPr>
        <w:spacing w:after="240"/>
      </w:pPr>
      <w:r>
        <w:t xml:space="preserve">This manuscript is original, has not been published previously, and is not currently under consideration by any other journal. I am the sole author and have no competing interests to declare. The research received no external funding. A declaration covering the limited use of AI-assisted language-editing tools appears in the manuscript’s Statements and Declarations section.</w:t>
      </w:r>
    </w:p>
    <w:p>
      <w:pPr>
        <w:spacing w:after="240"/>
      </w:pPr>
      <w:r>
        <w:t xml:space="preserve">Thank you for your consideration.</w:t>
      </w:r>
    </w:p>
    <w:p>
      <w:pPr>
        <w:spacing w:after="240"/>
      </w:pPr>
      <w:r>
        <w:t xml:space="preserve">Yours sincerely,</w:t>
      </w:r>
    </w:p>
    <w:p>
      <w:pPr>
        <w:spacing w:after="0"/>
      </w:pPr>
      <w:r>
        <w:t xml:space="preserve">Khandaker Saifuzzaman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2026-08-08T03:22:12.828Z</dcterms:created>
  <dcterms:modified xsi:type="dcterms:W3CDTF">2026-08-08T03:22:12.834Z</dcterms:modified>
</cp:coreProperties>
</file>

<file path=docProps/custom.xml><?xml version="1.0" encoding="utf-8"?>
<Properties xmlns="http://schemas.openxmlformats.org/officeDocument/2006/custom-properties" xmlns:vt="http://schemas.openxmlformats.org/officeDocument/2006/docPropsVTypes"/>
</file>