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Highlights</w:t>
      </w:r>
    </w:p>
    <w:p>
      <w:pPr>
        <w:spacing w:after="200"/>
      </w:pPr>
      <w:r>
        <w:t xml:space="preserve">Trustworthy AI in Cybersecurity: A Glass-Box-Augmented Stacked Ensemble with Cross-Validated Explanations for Network Intrusion Detection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Stacked ensemble outperforms voting when base learners span three learning paradigms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Glass-box and post-hoc explanations agree strongly across two independent benchmarks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Timing features lift minority-class attack detection by 4.7× over packet statistics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Per-class threshold calibration cuts false alarms and improves detection accuracy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All findings replicate under native retraining on a second independent benchmark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2026-07-02T00:29:14.215Z</dcterms:created>
  <dcterms:modified xsi:type="dcterms:W3CDTF">2026-07-02T00:29:14.215Z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