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Does Cross-Model Explanation Agreement Signal Trustworthy Intrusion Detection? A Rigorous Empirical Test Using an Embedded Glass-Box Reference</w:t>
      </w:r>
    </w:p>
    <w:p>
      <w:pPr>
        <w:spacing w:after="120"/>
      </w:pPr>
      <w:r>
        <w:t xml:space="preserve">Author: Khandaker Saifuzzaman</w:t>
      </w:r>
    </w:p>
    <w:p>
      <w:pPr>
        <w:spacing w:after="120"/>
      </w:pPr>
      <w:r>
        <w:t xml:space="preserve">Affiliation: School of Physics, Engineering and Computer Science, University of Hertfordshire, Hatfield, United Kingdom</w:t>
      </w:r>
    </w:p>
    <w:p>
      <w:pPr>
        <w:spacing w:after="120"/>
      </w:pPr>
      <w:r>
        <w:t xml:space="preserve">Corresponding author: Khandaker Saifuzzaman (kh.saif17@gmail.com)</w:t>
      </w:r>
    </w:p>
    <w:p>
      <w:pPr>
        <w:spacing w:after="120"/>
      </w:pPr>
      <w:r>
        <w:t xml:space="preserve">ORCID: 0000-0001-6456-3652</w:t>
      </w:r>
    </w:p>
    <w:p>
      <w:pPr>
        <w:spacing w:after="240"/>
      </w:pPr>
      <w:r>
        <w:t xml:space="preserve">Acknowledgments: None.</w:t>
      </w:r>
    </w:p>
    <w:p>
      <w:pPr>
        <w:spacing w:after="240"/>
      </w:pPr>
      <w:r>
        <w:rPr>
          <w:b/>
          <w:bCs/>
        </w:rPr>
        <w:t xml:space="preserve">Author Contributions: </w:t>
      </w:r>
      <w:r>
        <w:t xml:space="preserve">Khandaker Saifuzzaman: Conceptualization, Methodology, Software, Validation, Formal analysis, Investigation, Data Curation, Writing – original draft, Writing – review and editing, Visualization. The author read and approved the final manuscript.</w:t>
      </w:r>
    </w:p>
    <w:p>
      <w:pPr>
        <w:pStyle w:val="Heading1"/>
        <w:spacing w:after="120"/>
      </w:pPr>
      <w:r>
        <w:t xml:space="preserve">Abstract</w:t>
      </w:r>
    </w:p>
    <w:p>
      <w:pPr>
        <w:spacing w:after="240"/>
        <w:jc w:val="both"/>
      </w:pPr>
      <w:r>
        <w:t xml:space="preserve">Security operations centres increasingly receive not only alerts from machine-learning intrusion detection systems but also explanations for them, produced by post-hoc methods such as SHAP. A natural but largely untested assumption in this literature is that when two independent explainers agree, that agreement signals a trustworthy prediction; existing consistency checks compare two post-hoc approximations, whose agreement cannot rule out a shared approximation artefact. We test this assumption directly by embedding a glass-box model, the Explainable Boosting Machine (EBM), whose feature attributions are exact by construction, as a base learner inside a heterogeneous stacked ensemble (CatBoost, ExtraTrees, EBM) trained on CICIDS-2017 (99.83% accuracy, 0.9984 weighted F1, exceeding a LightGBM reference by 28.1% relative error reduction) and replicated natively on UNSW-NB15. Using the resulting embedded exact reference, we test whether SHAP-versus-EBM attribution divergence functions as a deployable trust signal, benchmarked against a paired-DeLong-tested confidence baseline across two scenarios: per-alert error prediction and detection of genuinely novel, never-trained attack classes. It largely does not. Divergence underperforms confidence in the majority of tested conditions, its relationship to error reverses sign between datasets, and a positive result on one held-out attack class (PortScan, AUROC 0.774) fails to replicate across three others (AUROC 0.19–0.32). We further show, via independent model refits, that single-point explanation-agreement estimates carry meaningful refit-to-refit variability that standard bootstrap confidence intervals do not capture, and that CICIDS-2017’s day-siloed attack structure structurally precludes a naive temporal train/test split, a limitation not previously documented for this widely-used benchmark. We report these as rigorously-tested findings that correct an unverified assumption underlying a growing body of explainable-NIDS work, rather than as a positive capability claim.</w:t>
      </w:r>
    </w:p>
    <w:p>
      <w:r>
        <w:rPr>
          <w:b w:val="false"/>
          <w:bCs w:val="false"/>
        </w:rPr>
        <w:t xml:space="preserve">Keywords: </w:t>
      </w:r>
      <w:r>
        <w:t xml:space="preserve">Explanation Consistency, Explainable AI, Explainable Boosting Machine, Stacked Generalisation, Network Intrusion Detection, Security Operations.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2026-08-08T03:21:19.910Z</dcterms:created>
  <dcterms:modified xsi:type="dcterms:W3CDTF">2026-08-08T03:21:19.915Z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