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200"/>
        <w:jc w:val="center"/>
      </w:pPr>
      <w:r>
        <w:rPr>
          <w:rFonts w:ascii="Arial" w:cs="Arial" w:eastAsia="Arial" w:hAnsi="Arial"/>
          <w:b/>
          <w:bCs/>
          <w:sz w:val="32"/>
          <w:szCs w:val="32"/>
          <w:rtl/>
        </w:rPr>
        <w:t xml:space="preserve">جمهورية العراق</w:t>
      </w:r>
    </w:p>
    <w:p>
      <w:pPr>
        <w:bidi/>
        <w:spacing w:after="60" w:before="60" w:line="320"/>
        <w:jc w:val="center"/>
      </w:pPr>
      <w:r>
        <w:rPr>
          <w:rFonts w:ascii="Arial" w:cs="Arial" w:eastAsia="Arial" w:hAnsi="Arial"/>
          <w:b/>
          <w:bCs/>
          <w:color w:val="000000"/>
          <w:sz w:val="30"/>
          <w:szCs w:val="30"/>
          <w:rtl/>
        </w:rPr>
        <w:t xml:space="preserve">محافظة البصرة</w:t>
      </w:r>
    </w:p>
    <w:p>
      <w:pPr>
        <w:bidi/>
        <w:spacing w:after="60" w:before="60" w:line="320"/>
        <w:jc w:val="center"/>
      </w:pPr>
      <w:r>
        <w:rPr>
          <w:rFonts w:ascii="Arial" w:cs="Arial" w:eastAsia="Arial" w:hAnsi="Arial"/>
          <w:b/>
          <w:bCs/>
          <w:color w:val="000000"/>
          <w:sz w:val="30"/>
          <w:szCs w:val="30"/>
          <w:rtl/>
        </w:rPr>
        <w:t xml:space="preserve">مديرية بلدية البصرة</w:t>
      </w:r>
    </w:p>
    <w:p>
      <w:pPr>
        <w:bidi/>
        <w:spacing w:after="60" w:before="60" w:line="320"/>
        <w:jc w:val="center"/>
      </w:pPr>
      <w:r>
        <w:rPr>
          <w:rFonts w:ascii="Arial" w:cs="Arial" w:eastAsia="Arial" w:hAnsi="Arial"/>
          <w:b/>
          <w:bCs/>
          <w:color w:val="2E75B6"/>
          <w:sz w:val="28"/>
          <w:szCs w:val="28"/>
          <w:rtl/>
        </w:rPr>
        <w:t xml:space="preserve">شعبة تجميل المدينة</w:t>
      </w:r>
    </w:p>
    <w:p>
      <w:pPr>
        <w:spacing w:after="500" w:before="500"/>
      </w:pPr>
    </w:p>
    <w:p>
      <w:pPr>
        <w:pBdr>
          <w:top w:val="double" w:color="1F4E79" w:sz="12" w:space="4"/>
          <w:bottom w:val="double" w:color="1F4E79" w:sz="12" w:space="4"/>
        </w:pBdr>
        <w:bidi/>
        <w:spacing w:after="300" w:before="300"/>
        <w:jc w:val="center"/>
      </w:pPr>
      <w:r>
        <w:rPr>
          <w:rFonts w:ascii="Arial" w:cs="Arial" w:eastAsia="Arial" w:hAnsi="Arial"/>
          <w:b/>
          <w:bCs/>
          <w:color w:val="1F4E79"/>
          <w:sz w:val="52"/>
          <w:szCs w:val="52"/>
          <w:rtl/>
        </w:rPr>
        <w:t xml:space="preserve">دراسة جدوى</w:t>
      </w:r>
    </w:p>
    <w:p>
      <w:pPr>
        <w:bidi/>
        <w:spacing w:after="60" w:before="60" w:line="320"/>
        <w:jc w:val="center"/>
      </w:pPr>
      <w:r>
        <w:rPr>
          <w:rFonts w:ascii="Arial" w:cs="Arial" w:eastAsia="Arial" w:hAnsi="Arial"/>
          <w:b/>
          <w:bCs/>
          <w:color w:val="1F4E79"/>
          <w:sz w:val="32"/>
          <w:szCs w:val="32"/>
          <w:rtl/>
        </w:rPr>
        <w:t xml:space="preserve">مشروع مرفق ترفيهي عائلي بلدي مفتوح</w:t>
      </w:r>
    </w:p>
    <w:p>
      <w:pPr>
        <w:bidi/>
        <w:spacing w:after="60" w:before="60" w:line="320"/>
        <w:jc w:val="center"/>
      </w:pPr>
      <w:r>
        <w:rPr>
          <w:rFonts w:ascii="Arial" w:cs="Arial" w:eastAsia="Arial" w:hAnsi="Arial"/>
          <w:b w:val="false"/>
          <w:bCs w:val="false"/>
          <w:color w:val="595959"/>
          <w:sz w:val="24"/>
          <w:szCs w:val="24"/>
          <w:rtl/>
        </w:rPr>
        <w:t xml:space="preserve">(ضمن خطة تطوير المساحات العامة والتجميل الحضري)</w:t>
      </w:r>
    </w:p>
    <w:p>
      <w:pPr>
        <w:spacing w:after="400" w:before="400"/>
      </w:pPr>
    </w:p>
    <w:p>
      <w:pPr>
        <w:bidi/>
        <w:spacing w:after="60" w:before="60" w:line="320"/>
        <w:jc w:val="center"/>
      </w:pPr>
      <w:r>
        <w:rPr>
          <w:rFonts w:ascii="Arial" w:cs="Arial" w:eastAsia="Arial" w:hAnsi="Arial"/>
          <w:b/>
          <w:bCs/>
          <w:color w:val="000000"/>
          <w:sz w:val="26"/>
          <w:szCs w:val="26"/>
          <w:rtl/>
        </w:rPr>
        <w:t xml:space="preserve">خياران مقترحان للتنفيذ:</w:t>
      </w:r>
    </w:p>
    <w:p>
      <w:pPr>
        <w:bidi/>
        <w:spacing w:after="60" w:before="60" w:line="320"/>
        <w:jc w:val="center"/>
      </w:pPr>
      <w:r>
        <w:rPr>
          <w:rFonts w:ascii="Arial" w:cs="Arial" w:eastAsia="Arial" w:hAnsi="Arial"/>
          <w:b w:val="false"/>
          <w:bCs w:val="false"/>
          <w:color w:val="000000"/>
          <w:sz w:val="24"/>
          <w:szCs w:val="24"/>
          <w:rtl/>
        </w:rPr>
        <w:t xml:space="preserve">• مساحة 500 م²    •    مساحة 1000 م²</w:t>
      </w:r>
    </w:p>
    <w:p>
      <w:pPr>
        <w:spacing w:after="500" w:before="500"/>
      </w:pPr>
    </w:p>
    <w:p>
      <w:pPr>
        <w:bidi/>
        <w:spacing w:after="60" w:before="60" w:line="320"/>
        <w:jc w:val="center"/>
      </w:pPr>
      <w:r>
        <w:rPr>
          <w:rFonts w:ascii="Arial" w:cs="Arial" w:eastAsia="Arial" w:hAnsi="Arial"/>
          <w:b w:val="false"/>
          <w:bCs w:val="false"/>
          <w:color w:val="000000"/>
          <w:sz w:val="22"/>
          <w:szCs w:val="22"/>
          <w:rtl/>
        </w:rPr>
        <w:t xml:space="preserve">مُعدّ من قِبَل:</w:t>
      </w:r>
    </w:p>
    <w:p>
      <w:pPr>
        <w:bidi/>
        <w:spacing w:after="60" w:before="60" w:line="320"/>
        <w:jc w:val="center"/>
      </w:pPr>
      <w:r>
        <w:rPr>
          <w:rFonts w:ascii="Arial" w:cs="Arial" w:eastAsia="Arial" w:hAnsi="Arial"/>
          <w:b/>
          <w:bCs/>
          <w:color w:val="000000"/>
          <w:sz w:val="24"/>
          <w:szCs w:val="24"/>
          <w:rtl/>
        </w:rPr>
        <w:t xml:space="preserve">شعبة تجميل المدينة – مديرية بلدية البصرة</w:t>
      </w:r>
    </w:p>
    <w:p>
      <w:pPr>
        <w:spacing w:after="250" w:before="250"/>
      </w:pPr>
    </w:p>
    <w:p>
      <w:pPr>
        <w:bidi/>
        <w:spacing w:after="60" w:before="60" w:line="320"/>
        <w:jc w:val="center"/>
      </w:pPr>
      <w:r>
        <w:rPr>
          <w:rFonts w:ascii="Arial" w:cs="Arial" w:eastAsia="Arial" w:hAnsi="Arial"/>
          <w:b w:val="false"/>
          <w:bCs w:val="false"/>
          <w:color w:val="000000"/>
          <w:sz w:val="22"/>
          <w:szCs w:val="22"/>
          <w:rtl/>
        </w:rPr>
        <w:t xml:space="preserve">مقدّمة إلى:</w:t>
      </w:r>
    </w:p>
    <w:p>
      <w:pPr>
        <w:bidi/>
        <w:spacing w:after="60" w:before="60" w:line="320"/>
        <w:jc w:val="center"/>
      </w:pPr>
      <w:r>
        <w:rPr>
          <w:rFonts w:ascii="Arial" w:cs="Arial" w:eastAsia="Arial" w:hAnsi="Arial"/>
          <w:b/>
          <w:bCs/>
          <w:color w:val="000000"/>
          <w:sz w:val="24"/>
          <w:szCs w:val="24"/>
          <w:rtl/>
        </w:rPr>
        <w:t xml:space="preserve">السيد المدير العام لمديرية بلدية البصرة المحترم</w:t>
      </w:r>
    </w:p>
    <w:p>
      <w:pPr>
        <w:spacing w:after="400" w:before="400"/>
      </w:pPr>
    </w:p>
    <w:p>
      <w:pPr>
        <w:bidi/>
        <w:spacing w:after="60" w:before="60" w:line="320"/>
        <w:jc w:val="center"/>
      </w:pPr>
      <w:r>
        <w:rPr>
          <w:rFonts w:ascii="Arial" w:cs="Arial" w:eastAsia="Arial" w:hAnsi="Arial"/>
          <w:b/>
          <w:bCs/>
          <w:color w:val="000000"/>
          <w:sz w:val="24"/>
          <w:szCs w:val="24"/>
          <w:rtl/>
        </w:rPr>
        <w:t xml:space="preserve">السنة:  2026</w:t>
      </w:r>
    </w:p>
    <w:p>
      <w:pPr>
        <w:pStyle w:val="Heading1"/>
        <w:pageBreakBefore/>
        <w:bidi/>
        <w:spacing w:after="200" w:before="360"/>
        <w:jc w:val="right"/>
      </w:pPr>
      <w:r>
        <w:rPr>
          <w:rFonts w:ascii="Arial" w:cs="Arial" w:eastAsia="Arial" w:hAnsi="Arial"/>
          <w:b/>
          <w:bCs/>
          <w:color w:val="1F4E79"/>
          <w:sz w:val="36"/>
          <w:szCs w:val="36"/>
          <w:rtl/>
        </w:rPr>
        <w:t xml:space="preserve">كتاب الإحالة الرسمي</w:t>
      </w:r>
    </w:p>
    <w:p>
      <w:pPr>
        <w:bidi/>
        <w:spacing w:after="60" w:before="60" w:line="320"/>
        <w:jc w:val="right"/>
      </w:pPr>
      <w:r>
        <w:rPr>
          <w:rFonts w:ascii="Arial" w:cs="Arial" w:eastAsia="Arial" w:hAnsi="Arial"/>
          <w:b w:val="false"/>
          <w:bCs w:val="false"/>
          <w:color w:val="000000"/>
          <w:sz w:val="22"/>
          <w:szCs w:val="22"/>
          <w:rtl/>
        </w:rPr>
        <w:t xml:space="preserve">العدد: ___________</w:t>
      </w:r>
      <w:r>
        <w:rPr>
          <w:rFonts w:ascii="Arial" w:cs="Arial" w:eastAsia="Arial" w:hAnsi="Arial"/>
          <w:b w:val="false"/>
          <w:bCs w:val="false"/>
          <w:color w:val="000000"/>
          <w:sz w:val="24"/>
          <w:szCs w:val="24"/>
          <w:rtl/>
        </w:rPr>
        <w:t xml:space="preserve">		</w:t>
      </w:r>
      <w:r>
        <w:rPr>
          <w:rFonts w:ascii="Arial" w:cs="Arial" w:eastAsia="Arial" w:hAnsi="Arial"/>
          <w:b w:val="false"/>
          <w:bCs w:val="false"/>
          <w:color w:val="000000"/>
          <w:sz w:val="22"/>
          <w:szCs w:val="22"/>
          <w:rtl/>
        </w:rPr>
        <w:t xml:space="preserve">التاريخ: ___ / ___ / 2026</w:t>
      </w:r>
    </w:p>
    <w:p>
      <w:pPr>
        <w:spacing w:after="200" w:before="200"/>
      </w:pPr>
    </w:p>
    <w:p>
      <w:pPr>
        <w:bidi/>
        <w:spacing w:after="60" w:before="60" w:line="320"/>
        <w:jc w:val="right"/>
      </w:pPr>
      <w:r>
        <w:rPr>
          <w:rFonts w:ascii="Arial" w:cs="Arial" w:eastAsia="Arial" w:hAnsi="Arial"/>
          <w:b/>
          <w:bCs/>
          <w:color w:val="000000"/>
          <w:sz w:val="26"/>
          <w:szCs w:val="26"/>
          <w:rtl/>
        </w:rPr>
        <w:t xml:space="preserve">إلى: السيد المدير العام لمديرية بلدية البصرة المحترم</w:t>
      </w:r>
    </w:p>
    <w:p>
      <w:pPr>
        <w:bidi/>
        <w:spacing w:after="60" w:before="60" w:line="320"/>
        <w:jc w:val="right"/>
      </w:pPr>
      <w:r>
        <w:rPr>
          <w:rFonts w:ascii="Arial" w:cs="Arial" w:eastAsia="Arial" w:hAnsi="Arial"/>
          <w:b/>
          <w:bCs/>
          <w:color w:val="1F4E79"/>
          <w:sz w:val="24"/>
          <w:szCs w:val="24"/>
          <w:rtl/>
        </w:rPr>
        <w:t xml:space="preserve">م/ مقترح إنشاء مرفق ترفيهي عائلي بلدي مفتوح – دراسة جدوى أولية</w:t>
      </w:r>
    </w:p>
    <w:p>
      <w:pPr>
        <w:spacing w:after="200" w:before="200"/>
      </w:pPr>
    </w:p>
    <w:p>
      <w:pPr>
        <w:bidi/>
        <w:spacing w:after="80" w:before="80" w:line="360"/>
        <w:jc w:val="both"/>
      </w:pPr>
      <w:r>
        <w:rPr>
          <w:rFonts w:ascii="Arial" w:cs="Arial" w:eastAsia="Arial" w:hAnsi="Arial"/>
          <w:b w:val="false"/>
          <w:bCs w:val="false"/>
          <w:color w:val="000000"/>
          <w:sz w:val="24"/>
          <w:szCs w:val="24"/>
          <w:rtl/>
        </w:rPr>
        <w:t xml:space="preserve">تحية طيبة وبعد،</w:t>
      </w:r>
    </w:p>
    <w:p>
      <w:pPr>
        <w:bidi/>
        <w:spacing w:after="80" w:before="80" w:line="360"/>
        <w:jc w:val="both"/>
      </w:pPr>
      <w:r>
        <w:rPr>
          <w:rFonts w:ascii="Arial" w:cs="Arial" w:eastAsia="Arial" w:hAnsi="Arial"/>
          <w:b w:val="false"/>
          <w:bCs w:val="false"/>
          <w:color w:val="000000"/>
          <w:sz w:val="24"/>
          <w:szCs w:val="24"/>
          <w:rtl/>
        </w:rPr>
        <w:t xml:space="preserve">ضمن جهود شعبة تجميل المدينة في تطوير المساحات العامة وتحسين الواجهة الحضرية للمحافظة، وانسجاماً مع توجّهات مديرية بلدية البصرة في توفير متنفّسات عائلية آمنة ومنظَّمة للمواطنين، تتشرف الشعبة برفع دراسة الجدوى المرفقة طيّاً، والمتعلقة بإنشاء مرفق ترفيهي عائلي بلدي مفتوح على إحدى قطع الأراضي التابعة للبلدية، بصيغتين بديلتين قابلتين للاعتماد: مساحة (500 م²) أو مساحة (1000 م²).</w:t>
      </w:r>
    </w:p>
    <w:p>
      <w:pPr>
        <w:bidi/>
        <w:spacing w:after="80" w:before="80" w:line="360"/>
        <w:jc w:val="both"/>
      </w:pPr>
      <w:r>
        <w:rPr>
          <w:rFonts w:ascii="Arial" w:cs="Arial" w:eastAsia="Arial" w:hAnsi="Arial"/>
          <w:b w:val="false"/>
          <w:bCs w:val="false"/>
          <w:color w:val="000000"/>
          <w:sz w:val="24"/>
          <w:szCs w:val="24"/>
          <w:rtl/>
        </w:rPr>
        <w:t xml:space="preserve">وقد رُوعِيَ في إعداد هذه الدراسة أن يكون المشروع ذا طابع بلدي عائلي مفتوح بدون سياج، يجمع بين الترفيه الرياضي، والمساحة الخضراء، والخدمات العائلية، والتجميل الحضري، مع توظيف الكوادر الفنية والآليات المتوفرة لدى شعبة تجميل المدينة في تنفيذ معظم الأعمال الموقعية واليدوية، مما يُسهم في خفض الكلفة الإجمالية بنسبة معتبرة، ويعزز الاعتماد على الجهود الذاتية للبلدية.</w:t>
      </w:r>
    </w:p>
    <w:p>
      <w:pPr>
        <w:bidi/>
        <w:spacing w:after="80" w:before="80" w:line="360"/>
        <w:jc w:val="both"/>
      </w:pPr>
      <w:r>
        <w:rPr>
          <w:rFonts w:ascii="Arial" w:cs="Arial" w:eastAsia="Arial" w:hAnsi="Arial"/>
          <w:b w:val="false"/>
          <w:bCs w:val="false"/>
          <w:color w:val="000000"/>
          <w:sz w:val="24"/>
          <w:szCs w:val="24"/>
          <w:rtl/>
        </w:rPr>
        <w:t xml:space="preserve">كما تضمّنت الدراسة رؤية متكاملة لدور الورش المحلية المتخصصة في تنفيذ الفقرات غير النمطية (لوحات الإرشاد، الهوية البصرية، أعمال CNC وقص الليزر، الجلسات المخصصة، عناصر الديكور الحضري…) وذلك دعماً للاقتصاد المحلي وتسريعاً للتنفيذ، وحسب الضوابط والتعليمات المعتمدة في البلدية.</w:t>
      </w:r>
    </w:p>
    <w:p>
      <w:pPr>
        <w:bidi/>
        <w:spacing w:after="80" w:before="80" w:line="360"/>
        <w:jc w:val="both"/>
      </w:pPr>
      <w:r>
        <w:rPr>
          <w:rFonts w:ascii="Arial" w:cs="Arial" w:eastAsia="Arial" w:hAnsi="Arial"/>
          <w:b w:val="false"/>
          <w:bCs w:val="false"/>
          <w:color w:val="000000"/>
          <w:sz w:val="24"/>
          <w:szCs w:val="24"/>
          <w:rtl/>
        </w:rPr>
        <w:t xml:space="preserve">لذا يرجى التفضل بالاطلاع على الدراسة المرفقة، وإبداء الرأي بشأن اعتماد أحد الخيارين المقترحين، وتوجيه ما يلزم لتشكيل لجنة فنية مشتركة لإعداد الكشف التفصيلي والمخططات النهائية تمهيداً لإحالة المشروع وفق السياقات الإدارية المعتمدة.</w:t>
      </w:r>
    </w:p>
    <w:p>
      <w:pPr>
        <w:spacing w:after="400" w:before="400"/>
      </w:pPr>
    </w:p>
    <w:p>
      <w:pPr>
        <w:bidi/>
        <w:spacing w:after="80" w:before="80" w:line="360"/>
        <w:jc w:val="both"/>
      </w:pPr>
      <w:r>
        <w:rPr>
          <w:rFonts w:ascii="Arial" w:cs="Arial" w:eastAsia="Arial" w:hAnsi="Arial"/>
          <w:b w:val="false"/>
          <w:bCs w:val="false"/>
          <w:color w:val="000000"/>
          <w:sz w:val="24"/>
          <w:szCs w:val="24"/>
          <w:rtl/>
        </w:rPr>
        <w:t xml:space="preserve">مع وافر الشكر والتقدير،</w:t>
      </w:r>
    </w:p>
    <w:p>
      <w:pPr>
        <w:spacing w:after="300" w:before="300"/>
      </w:pPr>
    </w:p>
    <w:p>
      <w:pPr>
        <w:bidi/>
        <w:spacing w:after="60" w:before="60" w:line="320"/>
        <w:jc w:val="left"/>
      </w:pPr>
      <w:r>
        <w:rPr>
          <w:rFonts w:ascii="Arial" w:cs="Arial" w:eastAsia="Arial" w:hAnsi="Arial"/>
          <w:b/>
          <w:bCs/>
          <w:color w:val="000000"/>
          <w:sz w:val="26"/>
          <w:szCs w:val="26"/>
          <w:rtl/>
        </w:rPr>
        <w:t xml:space="preserve">مدير شعبة تجميل المدينة</w:t>
      </w:r>
    </w:p>
    <w:p>
      <w:pPr>
        <w:bidi/>
        <w:spacing w:after="60" w:before="60" w:line="320"/>
        <w:jc w:val="left"/>
      </w:pPr>
      <w:r>
        <w:rPr>
          <w:rFonts w:ascii="Arial" w:cs="Arial" w:eastAsia="Arial" w:hAnsi="Arial"/>
          <w:b w:val="false"/>
          <w:bCs w:val="false"/>
          <w:color w:val="000000"/>
          <w:sz w:val="24"/>
          <w:szCs w:val="24"/>
          <w:rtl/>
        </w:rPr>
        <w:t xml:space="preserve">مديرية بلدية البصرة</w:t>
      </w:r>
    </w:p>
    <w:p>
      <w:pPr>
        <w:spacing w:after="200" w:before="200"/>
      </w:pPr>
    </w:p>
    <w:p>
      <w:pPr>
        <w:bidi/>
        <w:spacing w:after="60" w:before="60" w:line="320"/>
        <w:jc w:val="left"/>
      </w:pPr>
      <w:r>
        <w:rPr>
          <w:rFonts w:ascii="Arial" w:cs="Arial" w:eastAsia="Arial" w:hAnsi="Arial"/>
          <w:b w:val="false"/>
          <w:bCs w:val="false"/>
          <w:color w:val="000000"/>
          <w:sz w:val="22"/>
          <w:szCs w:val="22"/>
          <w:rtl/>
        </w:rPr>
        <w:t xml:space="preserve">التوقيع: ____________________</w:t>
      </w:r>
    </w:p>
    <w:p>
      <w:pPr>
        <w:bidi/>
        <w:spacing w:after="60" w:before="60" w:line="320"/>
        <w:jc w:val="left"/>
      </w:pPr>
      <w:r>
        <w:rPr>
          <w:rFonts w:ascii="Arial" w:cs="Arial" w:eastAsia="Arial" w:hAnsi="Arial"/>
          <w:b w:val="false"/>
          <w:bCs w:val="false"/>
          <w:color w:val="000000"/>
          <w:sz w:val="22"/>
          <w:szCs w:val="22"/>
          <w:rtl/>
        </w:rPr>
        <w:t xml:space="preserve">الاسم:   ____________________</w:t>
      </w:r>
    </w:p>
    <w:p>
      <w:pPr>
        <w:bidi/>
        <w:spacing w:after="60" w:before="60" w:line="320"/>
        <w:jc w:val="left"/>
      </w:pPr>
      <w:r>
        <w:rPr>
          <w:rFonts w:ascii="Arial" w:cs="Arial" w:eastAsia="Arial" w:hAnsi="Arial"/>
          <w:b w:val="false"/>
          <w:bCs w:val="false"/>
          <w:color w:val="000000"/>
          <w:sz w:val="22"/>
          <w:szCs w:val="22"/>
          <w:rtl/>
        </w:rPr>
        <w:t xml:space="preserve">التاريخ: ____________________</w:t>
      </w:r>
    </w:p>
    <w:p>
      <w:pPr>
        <w:spacing w:after="400" w:before="400"/>
      </w:pPr>
    </w:p>
    <w:p>
      <w:pPr>
        <w:bidi/>
        <w:spacing w:after="60" w:before="60" w:line="320"/>
        <w:jc w:val="right"/>
      </w:pPr>
      <w:r>
        <w:rPr>
          <w:rFonts w:ascii="Arial" w:cs="Arial" w:eastAsia="Arial" w:hAnsi="Arial"/>
          <w:b/>
          <w:bCs/>
          <w:color w:val="000000"/>
          <w:sz w:val="22"/>
          <w:szCs w:val="22"/>
          <w:rtl/>
        </w:rPr>
        <w:t xml:space="preserve">المرفقات:</w:t>
      </w:r>
    </w:p>
    <w:p>
      <w:pPr>
        <w:pStyle w:val="ListParagraph"/>
        <w:numPr>
          <w:ilvl w:val="0"/>
          <w:numId w:val="2"/>
        </w:numPr>
        <w:bidi/>
        <w:spacing w:after="40" w:before="40" w:line="320"/>
        <w:jc w:val="right"/>
      </w:pPr>
      <w:r>
        <w:rPr>
          <w:rFonts w:ascii="Arial" w:cs="Arial" w:eastAsia="Arial" w:hAnsi="Arial"/>
          <w:sz w:val="24"/>
          <w:szCs w:val="24"/>
          <w:rtl/>
        </w:rPr>
        <w:t xml:space="preserve">دراسة الجدوى الكاملة (هذه الوثيقة).</w:t>
      </w:r>
    </w:p>
    <w:p>
      <w:pPr>
        <w:pStyle w:val="ListParagraph"/>
        <w:numPr>
          <w:ilvl w:val="0"/>
          <w:numId w:val="2"/>
        </w:numPr>
        <w:bidi/>
        <w:spacing w:after="40" w:before="40" w:line="320"/>
        <w:jc w:val="right"/>
      </w:pPr>
      <w:r>
        <w:rPr>
          <w:rFonts w:ascii="Arial" w:cs="Arial" w:eastAsia="Arial" w:hAnsi="Arial"/>
          <w:sz w:val="24"/>
          <w:szCs w:val="24"/>
          <w:rtl/>
        </w:rPr>
        <w:t xml:space="preserve">جداول الكلف التخمينية للخيارين (500 م² و 1000 م²).</w:t>
      </w:r>
    </w:p>
    <w:p>
      <w:pPr>
        <w:pStyle w:val="ListParagraph"/>
        <w:numPr>
          <w:ilvl w:val="0"/>
          <w:numId w:val="2"/>
        </w:numPr>
        <w:bidi/>
        <w:spacing w:after="40" w:before="40" w:line="320"/>
        <w:jc w:val="right"/>
      </w:pPr>
      <w:r>
        <w:rPr>
          <w:rFonts w:ascii="Arial" w:cs="Arial" w:eastAsia="Arial" w:hAnsi="Arial"/>
          <w:sz w:val="24"/>
          <w:szCs w:val="24"/>
          <w:rtl/>
        </w:rPr>
        <w:t xml:space="preserve">جداول الكلف بعد مساهمة كوادر شعبة تجميل المدينة.</w:t>
      </w:r>
    </w:p>
    <w:p>
      <w:pPr>
        <w:pStyle w:val="ListParagraph"/>
        <w:numPr>
          <w:ilvl w:val="0"/>
          <w:numId w:val="2"/>
        </w:numPr>
        <w:bidi/>
        <w:spacing w:after="40" w:before="40" w:line="320"/>
        <w:jc w:val="right"/>
      </w:pPr>
      <w:r>
        <w:rPr>
          <w:rFonts w:ascii="Arial" w:cs="Arial" w:eastAsia="Arial" w:hAnsi="Arial"/>
          <w:sz w:val="24"/>
          <w:szCs w:val="24"/>
          <w:rtl/>
        </w:rPr>
        <w:t xml:space="preserve">صور إيزومترية ومخططات تصورية مرفقة بشكل منفصل (إن وُجدت).</w:t>
      </w:r>
    </w:p>
    <w:p>
      <w:pPr>
        <w:pStyle w:val="Heading1"/>
        <w:pageBreakBefore/>
        <w:bidi/>
        <w:spacing w:after="200" w:before="360"/>
        <w:jc w:val="right"/>
      </w:pPr>
      <w:r>
        <w:rPr>
          <w:rFonts w:ascii="Arial" w:cs="Arial" w:eastAsia="Arial" w:hAnsi="Arial"/>
          <w:b/>
          <w:bCs/>
          <w:color w:val="1F4E79"/>
          <w:sz w:val="36"/>
          <w:szCs w:val="36"/>
          <w:rtl/>
        </w:rPr>
        <w:t xml:space="preserve">فهرس المحتويات</w:t>
      </w:r>
    </w:p>
    <w:p>
      <w:pPr>
        <w:tabs>
          <w:tab w:val="left" w:pos="9026"/>
        </w:tabs>
        <w:bidi/>
        <w:spacing w:after="80" w:before="80" w:line="320"/>
        <w:jc w:val="right"/>
      </w:pPr>
      <w:r>
        <w:rPr>
          <w:rFonts w:ascii="Arial" w:cs="Arial" w:eastAsia="Arial" w:hAnsi="Arial"/>
          <w:sz w:val="24"/>
          <w:szCs w:val="24"/>
          <w:rtl/>
        </w:rPr>
        <w:t xml:space="preserve">كتاب الإحالة الرسمي</w:t>
      </w:r>
      <w:r>
        <w:rPr>
          <w:rFonts w:ascii="Arial" w:cs="Arial" w:eastAsia="Arial" w:hAnsi="Arial"/>
          <w:b/>
          <w:bCs/>
          <w:sz w:val="24"/>
          <w:szCs w:val="24"/>
          <w:rtl/>
        </w:rPr>
        <w:t xml:space="preserve">	2</w:t>
      </w:r>
    </w:p>
    <w:p>
      <w:pPr>
        <w:tabs>
          <w:tab w:val="left" w:pos="9026"/>
        </w:tabs>
        <w:bidi/>
        <w:spacing w:after="80" w:before="80" w:line="320"/>
        <w:jc w:val="right"/>
      </w:pPr>
      <w:r>
        <w:rPr>
          <w:rFonts w:ascii="Arial" w:cs="Arial" w:eastAsia="Arial" w:hAnsi="Arial"/>
          <w:sz w:val="24"/>
          <w:szCs w:val="24"/>
          <w:rtl/>
        </w:rPr>
        <w:t xml:space="preserve">الملخص التنفيذي</w:t>
      </w:r>
      <w:r>
        <w:rPr>
          <w:rFonts w:ascii="Arial" w:cs="Arial" w:eastAsia="Arial" w:hAnsi="Arial"/>
          <w:b/>
          <w:bCs/>
          <w:sz w:val="24"/>
          <w:szCs w:val="24"/>
          <w:rtl/>
        </w:rPr>
        <w:t xml:space="preserve">	5</w:t>
      </w:r>
    </w:p>
    <w:p>
      <w:pPr>
        <w:tabs>
          <w:tab w:val="left" w:pos="9026"/>
        </w:tabs>
        <w:bidi/>
        <w:spacing w:after="80" w:before="80" w:line="320"/>
        <w:jc w:val="right"/>
      </w:pPr>
      <w:r>
        <w:rPr>
          <w:rFonts w:ascii="Arial" w:cs="Arial" w:eastAsia="Arial" w:hAnsi="Arial"/>
          <w:sz w:val="24"/>
          <w:szCs w:val="24"/>
          <w:rtl/>
        </w:rPr>
        <w:t xml:space="preserve">1. مقدمة المشروع</w:t>
      </w:r>
      <w:r>
        <w:rPr>
          <w:rFonts w:ascii="Arial" w:cs="Arial" w:eastAsia="Arial" w:hAnsi="Arial"/>
          <w:b/>
          <w:bCs/>
          <w:sz w:val="24"/>
          <w:szCs w:val="24"/>
          <w:rtl/>
        </w:rPr>
        <w:t xml:space="preserve">	7</w:t>
      </w:r>
    </w:p>
    <w:p>
      <w:pPr>
        <w:tabs>
          <w:tab w:val="left" w:pos="9026"/>
        </w:tabs>
        <w:bidi/>
        <w:spacing w:after="80" w:before="80" w:line="320"/>
        <w:jc w:val="right"/>
      </w:pPr>
      <w:r>
        <w:rPr>
          <w:rFonts w:ascii="Arial" w:cs="Arial" w:eastAsia="Arial" w:hAnsi="Arial"/>
          <w:sz w:val="24"/>
          <w:szCs w:val="24"/>
          <w:rtl/>
        </w:rPr>
        <w:t xml:space="preserve">2. فكرة المشروع وأهدافه</w:t>
      </w:r>
      <w:r>
        <w:rPr>
          <w:rFonts w:ascii="Arial" w:cs="Arial" w:eastAsia="Arial" w:hAnsi="Arial"/>
          <w:b/>
          <w:bCs/>
          <w:sz w:val="24"/>
          <w:szCs w:val="24"/>
          <w:rtl/>
        </w:rPr>
        <w:t xml:space="preserve">	9</w:t>
      </w:r>
    </w:p>
    <w:p>
      <w:pPr>
        <w:tabs>
          <w:tab w:val="left" w:pos="9026"/>
        </w:tabs>
        <w:bidi/>
        <w:spacing w:after="80" w:before="80" w:line="320"/>
        <w:jc w:val="right"/>
      </w:pPr>
      <w:r>
        <w:rPr>
          <w:rFonts w:ascii="Arial" w:cs="Arial" w:eastAsia="Arial" w:hAnsi="Arial"/>
          <w:sz w:val="24"/>
          <w:szCs w:val="24"/>
          <w:rtl/>
        </w:rPr>
        <w:t xml:space="preserve">3. مبررات المشروع والفئة المستهدفة</w:t>
      </w:r>
      <w:r>
        <w:rPr>
          <w:rFonts w:ascii="Arial" w:cs="Arial" w:eastAsia="Arial" w:hAnsi="Arial"/>
          <w:b/>
          <w:bCs/>
          <w:sz w:val="24"/>
          <w:szCs w:val="24"/>
          <w:rtl/>
        </w:rPr>
        <w:t xml:space="preserve">	11</w:t>
      </w:r>
    </w:p>
    <w:p>
      <w:pPr>
        <w:tabs>
          <w:tab w:val="left" w:pos="9026"/>
        </w:tabs>
        <w:bidi/>
        <w:spacing w:after="80" w:before="80" w:line="320"/>
        <w:jc w:val="right"/>
      </w:pPr>
      <w:r>
        <w:rPr>
          <w:rFonts w:ascii="Arial" w:cs="Arial" w:eastAsia="Arial" w:hAnsi="Arial"/>
          <w:sz w:val="24"/>
          <w:szCs w:val="24"/>
          <w:rtl/>
        </w:rPr>
        <w:t xml:space="preserve">4. الهوية التصميمية والطابع البلدي العائلي</w:t>
      </w:r>
      <w:r>
        <w:rPr>
          <w:rFonts w:ascii="Arial" w:cs="Arial" w:eastAsia="Arial" w:hAnsi="Arial"/>
          <w:b/>
          <w:bCs/>
          <w:sz w:val="24"/>
          <w:szCs w:val="24"/>
          <w:rtl/>
        </w:rPr>
        <w:t xml:space="preserve">	13</w:t>
      </w:r>
    </w:p>
    <w:p>
      <w:pPr>
        <w:tabs>
          <w:tab w:val="left" w:pos="9026"/>
        </w:tabs>
        <w:bidi/>
        <w:spacing w:after="80" w:before="80" w:line="320"/>
        <w:jc w:val="right"/>
      </w:pPr>
      <w:r>
        <w:rPr>
          <w:rFonts w:ascii="Arial" w:cs="Arial" w:eastAsia="Arial" w:hAnsi="Arial"/>
          <w:sz w:val="24"/>
          <w:szCs w:val="24"/>
          <w:rtl/>
        </w:rPr>
        <w:t xml:space="preserve">5. الوصف العام للموقع وافتراضات الدراسة</w:t>
      </w:r>
      <w:r>
        <w:rPr>
          <w:rFonts w:ascii="Arial" w:cs="Arial" w:eastAsia="Arial" w:hAnsi="Arial"/>
          <w:b/>
          <w:bCs/>
          <w:sz w:val="24"/>
          <w:szCs w:val="24"/>
          <w:rtl/>
        </w:rPr>
        <w:t xml:space="preserve">	15</w:t>
      </w:r>
    </w:p>
    <w:p>
      <w:pPr>
        <w:tabs>
          <w:tab w:val="left" w:pos="9026"/>
        </w:tabs>
        <w:bidi/>
        <w:spacing w:after="80" w:before="80" w:line="320"/>
        <w:jc w:val="right"/>
      </w:pPr>
      <w:r>
        <w:rPr>
          <w:rFonts w:ascii="Arial" w:cs="Arial" w:eastAsia="Arial" w:hAnsi="Arial"/>
          <w:sz w:val="24"/>
          <w:szCs w:val="24"/>
          <w:rtl/>
        </w:rPr>
        <w:t xml:space="preserve">6. الخيار الأول: مساحة 500 م² – المكونات والمواصفات</w:t>
      </w:r>
      <w:r>
        <w:rPr>
          <w:rFonts w:ascii="Arial" w:cs="Arial" w:eastAsia="Arial" w:hAnsi="Arial"/>
          <w:b/>
          <w:bCs/>
          <w:sz w:val="24"/>
          <w:szCs w:val="24"/>
          <w:rtl/>
        </w:rPr>
        <w:t xml:space="preserve">	17</w:t>
      </w:r>
    </w:p>
    <w:p>
      <w:pPr>
        <w:tabs>
          <w:tab w:val="left" w:pos="9026"/>
        </w:tabs>
        <w:bidi/>
        <w:spacing w:after="80" w:before="80" w:line="320"/>
        <w:jc w:val="right"/>
      </w:pPr>
      <w:r>
        <w:rPr>
          <w:rFonts w:ascii="Arial" w:cs="Arial" w:eastAsia="Arial" w:hAnsi="Arial"/>
          <w:sz w:val="24"/>
          <w:szCs w:val="24"/>
          <w:rtl/>
        </w:rPr>
        <w:t xml:space="preserve">7. الخيار الثاني: مساحة 1000 م² – المكونات والمواصفات</w:t>
      </w:r>
      <w:r>
        <w:rPr>
          <w:rFonts w:ascii="Arial" w:cs="Arial" w:eastAsia="Arial" w:hAnsi="Arial"/>
          <w:b/>
          <w:bCs/>
          <w:sz w:val="24"/>
          <w:szCs w:val="24"/>
          <w:rtl/>
        </w:rPr>
        <w:t xml:space="preserve">	20</w:t>
      </w:r>
    </w:p>
    <w:p>
      <w:pPr>
        <w:tabs>
          <w:tab w:val="left" w:pos="9026"/>
        </w:tabs>
        <w:bidi/>
        <w:spacing w:after="80" w:before="80" w:line="320"/>
        <w:jc w:val="right"/>
      </w:pPr>
      <w:r>
        <w:rPr>
          <w:rFonts w:ascii="Arial" w:cs="Arial" w:eastAsia="Arial" w:hAnsi="Arial"/>
          <w:sz w:val="24"/>
          <w:szCs w:val="24"/>
          <w:rtl/>
        </w:rPr>
        <w:t xml:space="preserve">8. الكلف التخمينية – الخيار الأول (500 م²)</w:t>
      </w:r>
      <w:r>
        <w:rPr>
          <w:rFonts w:ascii="Arial" w:cs="Arial" w:eastAsia="Arial" w:hAnsi="Arial"/>
          <w:b/>
          <w:bCs/>
          <w:sz w:val="24"/>
          <w:szCs w:val="24"/>
          <w:rtl/>
        </w:rPr>
        <w:t xml:space="preserve">	23</w:t>
      </w:r>
    </w:p>
    <w:p>
      <w:pPr>
        <w:tabs>
          <w:tab w:val="left" w:pos="9026"/>
        </w:tabs>
        <w:bidi/>
        <w:spacing w:after="80" w:before="80" w:line="320"/>
        <w:jc w:val="right"/>
      </w:pPr>
      <w:r>
        <w:rPr>
          <w:rFonts w:ascii="Arial" w:cs="Arial" w:eastAsia="Arial" w:hAnsi="Arial"/>
          <w:sz w:val="24"/>
          <w:szCs w:val="24"/>
          <w:rtl/>
        </w:rPr>
        <w:t xml:space="preserve">9. الكلف التخمينية – الخيار الثاني (1000 م²)</w:t>
      </w:r>
      <w:r>
        <w:rPr>
          <w:rFonts w:ascii="Arial" w:cs="Arial" w:eastAsia="Arial" w:hAnsi="Arial"/>
          <w:b/>
          <w:bCs/>
          <w:sz w:val="24"/>
          <w:szCs w:val="24"/>
          <w:rtl/>
        </w:rPr>
        <w:t xml:space="preserve">	25</w:t>
      </w:r>
    </w:p>
    <w:p>
      <w:pPr>
        <w:tabs>
          <w:tab w:val="left" w:pos="9026"/>
        </w:tabs>
        <w:bidi/>
        <w:spacing w:after="80" w:before="80" w:line="320"/>
        <w:jc w:val="right"/>
      </w:pPr>
      <w:r>
        <w:rPr>
          <w:rFonts w:ascii="Arial" w:cs="Arial" w:eastAsia="Arial" w:hAnsi="Arial"/>
          <w:sz w:val="24"/>
          <w:szCs w:val="24"/>
          <w:rtl/>
        </w:rPr>
        <w:t xml:space="preserve">10. مساهمة كوادر شعبة تجميل المدينة</w:t>
      </w:r>
      <w:r>
        <w:rPr>
          <w:rFonts w:ascii="Arial" w:cs="Arial" w:eastAsia="Arial" w:hAnsi="Arial"/>
          <w:b/>
          <w:bCs/>
          <w:sz w:val="24"/>
          <w:szCs w:val="24"/>
          <w:rtl/>
        </w:rPr>
        <w:t xml:space="preserve">	27</w:t>
      </w:r>
    </w:p>
    <w:p>
      <w:pPr>
        <w:tabs>
          <w:tab w:val="left" w:pos="9026"/>
        </w:tabs>
        <w:bidi/>
        <w:spacing w:after="80" w:before="80" w:line="320"/>
        <w:jc w:val="right"/>
      </w:pPr>
      <w:r>
        <w:rPr>
          <w:rFonts w:ascii="Arial" w:cs="Arial" w:eastAsia="Arial" w:hAnsi="Arial"/>
          <w:sz w:val="24"/>
          <w:szCs w:val="24"/>
          <w:rtl/>
        </w:rPr>
        <w:t xml:space="preserve">11. الأعمال التخصصية ودور الورش المحلية المساندة</w:t>
      </w:r>
      <w:r>
        <w:rPr>
          <w:rFonts w:ascii="Arial" w:cs="Arial" w:eastAsia="Arial" w:hAnsi="Arial"/>
          <w:b/>
          <w:bCs/>
          <w:sz w:val="24"/>
          <w:szCs w:val="24"/>
          <w:rtl/>
        </w:rPr>
        <w:t xml:space="preserve">	30</w:t>
      </w:r>
    </w:p>
    <w:p>
      <w:pPr>
        <w:tabs>
          <w:tab w:val="left" w:pos="9026"/>
        </w:tabs>
        <w:bidi/>
        <w:spacing w:after="80" w:before="80" w:line="320"/>
        <w:jc w:val="right"/>
      </w:pPr>
      <w:r>
        <w:rPr>
          <w:rFonts w:ascii="Arial" w:cs="Arial" w:eastAsia="Arial" w:hAnsi="Arial"/>
          <w:sz w:val="24"/>
          <w:szCs w:val="24"/>
          <w:rtl/>
        </w:rPr>
        <w:t xml:space="preserve">12. الكلف بعد مساهمة البلدية – الجداول النهائية</w:t>
      </w:r>
      <w:r>
        <w:rPr>
          <w:rFonts w:ascii="Arial" w:cs="Arial" w:eastAsia="Arial" w:hAnsi="Arial"/>
          <w:b/>
          <w:bCs/>
          <w:sz w:val="24"/>
          <w:szCs w:val="24"/>
          <w:rtl/>
        </w:rPr>
        <w:t xml:space="preserve">	32</w:t>
      </w:r>
    </w:p>
    <w:p>
      <w:pPr>
        <w:tabs>
          <w:tab w:val="left" w:pos="9026"/>
        </w:tabs>
        <w:bidi/>
        <w:spacing w:after="80" w:before="80" w:line="320"/>
        <w:jc w:val="right"/>
      </w:pPr>
      <w:r>
        <w:rPr>
          <w:rFonts w:ascii="Arial" w:cs="Arial" w:eastAsia="Arial" w:hAnsi="Arial"/>
          <w:sz w:val="24"/>
          <w:szCs w:val="24"/>
          <w:rtl/>
        </w:rPr>
        <w:t xml:space="preserve">13. المقارنة بين الخيارين والتوصية</w:t>
      </w:r>
      <w:r>
        <w:rPr>
          <w:rFonts w:ascii="Arial" w:cs="Arial" w:eastAsia="Arial" w:hAnsi="Arial"/>
          <w:b/>
          <w:bCs/>
          <w:sz w:val="24"/>
          <w:szCs w:val="24"/>
          <w:rtl/>
        </w:rPr>
        <w:t xml:space="preserve">	34</w:t>
      </w:r>
    </w:p>
    <w:p>
      <w:pPr>
        <w:tabs>
          <w:tab w:val="left" w:pos="9026"/>
        </w:tabs>
        <w:bidi/>
        <w:spacing w:after="80" w:before="80" w:line="320"/>
        <w:jc w:val="right"/>
      </w:pPr>
      <w:r>
        <w:rPr>
          <w:rFonts w:ascii="Arial" w:cs="Arial" w:eastAsia="Arial" w:hAnsi="Arial"/>
          <w:sz w:val="24"/>
          <w:szCs w:val="24"/>
          <w:rtl/>
        </w:rPr>
        <w:t xml:space="preserve">14. نموذج التشغيل والإيرادات المتوقعة</w:t>
      </w:r>
      <w:r>
        <w:rPr>
          <w:rFonts w:ascii="Arial" w:cs="Arial" w:eastAsia="Arial" w:hAnsi="Arial"/>
          <w:b/>
          <w:bCs/>
          <w:sz w:val="24"/>
          <w:szCs w:val="24"/>
          <w:rtl/>
        </w:rPr>
        <w:t xml:space="preserve">	36</w:t>
      </w:r>
    </w:p>
    <w:p>
      <w:pPr>
        <w:tabs>
          <w:tab w:val="left" w:pos="9026"/>
        </w:tabs>
        <w:bidi/>
        <w:spacing w:after="80" w:before="80" w:line="320"/>
        <w:jc w:val="right"/>
      </w:pPr>
      <w:r>
        <w:rPr>
          <w:rFonts w:ascii="Arial" w:cs="Arial" w:eastAsia="Arial" w:hAnsi="Arial"/>
          <w:sz w:val="24"/>
          <w:szCs w:val="24"/>
          <w:rtl/>
        </w:rPr>
        <w:t xml:space="preserve">15. المخاطر وآليات معالجتها</w:t>
      </w:r>
      <w:r>
        <w:rPr>
          <w:rFonts w:ascii="Arial" w:cs="Arial" w:eastAsia="Arial" w:hAnsi="Arial"/>
          <w:b/>
          <w:bCs/>
          <w:sz w:val="24"/>
          <w:szCs w:val="24"/>
          <w:rtl/>
        </w:rPr>
        <w:t xml:space="preserve">	38</w:t>
      </w:r>
    </w:p>
    <w:p>
      <w:pPr>
        <w:tabs>
          <w:tab w:val="left" w:pos="9026"/>
        </w:tabs>
        <w:bidi/>
        <w:spacing w:after="80" w:before="80" w:line="320"/>
        <w:jc w:val="right"/>
      </w:pPr>
      <w:r>
        <w:rPr>
          <w:rFonts w:ascii="Arial" w:cs="Arial" w:eastAsia="Arial" w:hAnsi="Arial"/>
          <w:sz w:val="24"/>
          <w:szCs w:val="24"/>
          <w:rtl/>
        </w:rPr>
        <w:t xml:space="preserve">16. خطة التنفيذ المرحلية</w:t>
      </w:r>
      <w:r>
        <w:rPr>
          <w:rFonts w:ascii="Arial" w:cs="Arial" w:eastAsia="Arial" w:hAnsi="Arial"/>
          <w:b/>
          <w:bCs/>
          <w:sz w:val="24"/>
          <w:szCs w:val="24"/>
          <w:rtl/>
        </w:rPr>
        <w:t xml:space="preserve">	39</w:t>
      </w:r>
    </w:p>
    <w:p>
      <w:pPr>
        <w:tabs>
          <w:tab w:val="left" w:pos="9026"/>
        </w:tabs>
        <w:bidi/>
        <w:spacing w:after="80" w:before="80" w:line="320"/>
        <w:jc w:val="right"/>
      </w:pPr>
      <w:r>
        <w:rPr>
          <w:rFonts w:ascii="Arial" w:cs="Arial" w:eastAsia="Arial" w:hAnsi="Arial"/>
          <w:sz w:val="24"/>
          <w:szCs w:val="24"/>
          <w:rtl/>
        </w:rPr>
        <w:t xml:space="preserve">17. التوصيات والخاتمة</w:t>
      </w:r>
      <w:r>
        <w:rPr>
          <w:rFonts w:ascii="Arial" w:cs="Arial" w:eastAsia="Arial" w:hAnsi="Arial"/>
          <w:b/>
          <w:bCs/>
          <w:sz w:val="24"/>
          <w:szCs w:val="24"/>
          <w:rtl/>
        </w:rPr>
        <w:t xml:space="preserve">	41</w:t>
      </w:r>
    </w:p>
    <w:p>
      <w:pPr>
        <w:tabs>
          <w:tab w:val="left" w:pos="9026"/>
        </w:tabs>
        <w:bidi/>
        <w:spacing w:after="80" w:before="80" w:line="320"/>
        <w:jc w:val="right"/>
      </w:pPr>
      <w:r>
        <w:rPr>
          <w:rFonts w:ascii="Arial" w:cs="Arial" w:eastAsia="Arial" w:hAnsi="Arial"/>
          <w:sz w:val="24"/>
          <w:szCs w:val="24"/>
          <w:rtl/>
        </w:rPr>
        <w:t xml:space="preserve">الملاحق</w:t>
      </w:r>
      <w:r>
        <w:rPr>
          <w:rFonts w:ascii="Arial" w:cs="Arial" w:eastAsia="Arial" w:hAnsi="Arial"/>
          <w:b/>
          <w:bCs/>
          <w:sz w:val="24"/>
          <w:szCs w:val="24"/>
          <w:rtl/>
        </w:rPr>
        <w:t xml:space="preserve">	43</w:t>
      </w:r>
    </w:p>
    <w:p>
      <w:pPr>
        <w:pStyle w:val="Heading1"/>
        <w:pageBreakBefore/>
        <w:bidi/>
        <w:spacing w:after="200" w:before="360"/>
        <w:jc w:val="right"/>
      </w:pPr>
      <w:r>
        <w:rPr>
          <w:rFonts w:ascii="Arial" w:cs="Arial" w:eastAsia="Arial" w:hAnsi="Arial"/>
          <w:b/>
          <w:bCs/>
          <w:color w:val="1F4E79"/>
          <w:sz w:val="36"/>
          <w:szCs w:val="36"/>
          <w:rtl/>
        </w:rPr>
        <w:t xml:space="preserve">الملخص التنفيذي</w:t>
      </w:r>
    </w:p>
    <w:p>
      <w:pPr>
        <w:bidi/>
        <w:spacing w:after="80" w:before="80" w:line="360"/>
        <w:jc w:val="both"/>
      </w:pPr>
      <w:r>
        <w:rPr>
          <w:rFonts w:ascii="Arial" w:cs="Arial" w:eastAsia="Arial" w:hAnsi="Arial"/>
          <w:b w:val="false"/>
          <w:bCs w:val="false"/>
          <w:color w:val="000000"/>
          <w:sz w:val="24"/>
          <w:szCs w:val="24"/>
          <w:rtl/>
        </w:rPr>
        <w:t xml:space="preserve">يتضمن هذا الملف دراسة جدوى أولية لمشروع إنشاء مرفق ترفيهي عائلي بلدي مفتوح، يُقام على إحدى قطع الأراضي التابعة لمديرية بلدية البصرة، ويُقدَّم بصيغتين بديلتين قابلتين للاعتماد بحسب المساحة المتاحة والميزانية المعتمدة:</w:t>
      </w:r>
    </w:p>
    <w:p>
      <w:pPr>
        <w:pStyle w:val="ListParagraph"/>
        <w:numPr>
          <w:ilvl w:val="0"/>
          <w:numId w:val="2"/>
        </w:numPr>
        <w:bidi/>
        <w:spacing w:after="40" w:before="40" w:line="320"/>
        <w:jc w:val="right"/>
      </w:pPr>
      <w:r>
        <w:rPr>
          <w:rFonts w:ascii="Arial" w:cs="Arial" w:eastAsia="Arial" w:hAnsi="Arial"/>
          <w:sz w:val="24"/>
          <w:szCs w:val="24"/>
          <w:rtl/>
        </w:rPr>
        <w:t xml:space="preserve">الخيار الأول: مساحة (500 م²) – مرفق رياضي عائلي مدمج يشمل ملعب بادل، بولينغ ترفيهي مصغّر، كافيه صغير، جلسات مظلَّلة، صحيات، تشجير، ممرات، ومواقف دراجات.</w:t>
      </w:r>
    </w:p>
    <w:p>
      <w:pPr>
        <w:pStyle w:val="ListParagraph"/>
        <w:numPr>
          <w:ilvl w:val="0"/>
          <w:numId w:val="2"/>
        </w:numPr>
        <w:bidi/>
        <w:spacing w:after="40" w:before="40" w:line="320"/>
        <w:jc w:val="right"/>
      </w:pPr>
      <w:r>
        <w:rPr>
          <w:rFonts w:ascii="Arial" w:cs="Arial" w:eastAsia="Arial" w:hAnsi="Arial"/>
          <w:sz w:val="24"/>
          <w:szCs w:val="24"/>
          <w:rtl/>
        </w:rPr>
        <w:t xml:space="preserve">الخيار الثاني: مساحة (1000 م²) – مرفق ترفيهي عائلي متكامل يشمل ملعبَي بادل، 3 مسارات بولينغ مدمجة (Compact)، كافيه ومطعم، جلسات عائلية، صحيات مع غرف تبديل ولوكرات، مسار جري محيطي، نافورات شرب، ومواقف سيارات مائلة.</w:t>
      </w:r>
    </w:p>
    <w:p>
      <w:pPr>
        <w:bidi/>
        <w:spacing w:after="80" w:before="80" w:line="360"/>
        <w:jc w:val="both"/>
      </w:pPr>
      <w:r>
        <w:rPr>
          <w:rFonts w:ascii="Arial" w:cs="Arial" w:eastAsia="Arial" w:hAnsi="Arial"/>
          <w:b w:val="false"/>
          <w:bCs w:val="false"/>
          <w:color w:val="000000"/>
          <w:sz w:val="24"/>
          <w:szCs w:val="24"/>
          <w:rtl/>
        </w:rPr>
        <w:t xml:space="preserve">وقد رُوعِيَ في الدراسة أن يكون المشروع ذا طابع بلدي عائلي مفتوح بدون سياج محيطي، تعريفاً عن المساحة بالتشجير الديكوري والكتل الأرضية المنخفضة، بما يضمن سهولة الوصول للعوائل، ويعزز السلامة العامة، ويُحقّق هدفَي الترفيه والتجميل الحضري في آنٍ واحد.</w:t>
      </w:r>
    </w:p>
    <w:p>
      <w:pPr>
        <w:pStyle w:val="Heading3"/>
        <w:bidi/>
        <w:spacing w:after="100" w:before="180"/>
        <w:jc w:val="right"/>
      </w:pPr>
      <w:r>
        <w:rPr>
          <w:rFonts w:ascii="Arial" w:cs="Arial" w:eastAsia="Arial" w:hAnsi="Arial"/>
          <w:b/>
          <w:bCs/>
          <w:color w:val="1F4E79"/>
          <w:sz w:val="26"/>
          <w:szCs w:val="26"/>
          <w:rtl/>
        </w:rPr>
        <w:t xml:space="preserve">الكلف التخمينية الإجمالية (قبل مساهمة كوادر البلدية)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trPr>
        <w:tc>
          <w:tcPr>
            <w:tcW w:type="dxa" w:w="26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الخيار</w:t>
            </w:r>
          </w:p>
        </w:tc>
        <w:tc>
          <w:tcPr>
            <w:tcW w:type="dxa" w:w="22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اقتصادي</w:t>
            </w:r>
          </w:p>
        </w:tc>
        <w:tc>
          <w:tcPr>
            <w:tcW w:type="dxa" w:w="22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قياسي</w:t>
            </w:r>
          </w:p>
        </w:tc>
        <w:tc>
          <w:tcPr>
            <w:tcW w:type="dxa" w:w="22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فخم</w:t>
            </w:r>
          </w:p>
        </w:tc>
      </w:tr>
      <w:tr>
        <w:tc>
          <w:tcPr>
            <w:tcW w:type="dxa" w:w="2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مساحة 500 م²</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558 مليون د.ع</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978 مليون د.ع</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1.595 مليار د.ع</w:t>
            </w:r>
          </w:p>
        </w:tc>
      </w:tr>
      <w:tr>
        <w:tc>
          <w:tcPr>
            <w:tcW w:type="dxa" w:w="26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مساحة 1000 م²</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1.222 مليار د.ع</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2.135 مليار د.ع</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3.540 مليار د.ع</w:t>
            </w:r>
          </w:p>
        </w:tc>
      </w:tr>
    </w:tbl>
    <w:p>
      <w:pPr>
        <w:spacing w:after="200" w:before="200"/>
      </w:pPr>
    </w:p>
    <w:p>
      <w:pPr>
        <w:pStyle w:val="Heading3"/>
        <w:bidi/>
        <w:spacing w:after="100" w:before="180"/>
        <w:jc w:val="right"/>
      </w:pPr>
      <w:r>
        <w:rPr>
          <w:rFonts w:ascii="Arial" w:cs="Arial" w:eastAsia="Arial" w:hAnsi="Arial"/>
          <w:b/>
          <w:bCs/>
          <w:color w:val="1F4E79"/>
          <w:sz w:val="26"/>
          <w:szCs w:val="26"/>
          <w:rtl/>
        </w:rPr>
        <w:t xml:space="preserve">الكلف التخمينية الإجمالية (بعد مساهمة كوادر شعبة تجميل المدينة)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trPr>
        <w:tc>
          <w:tcPr>
            <w:tcW w:type="dxa" w:w="26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الخيار</w:t>
            </w:r>
          </w:p>
        </w:tc>
        <w:tc>
          <w:tcPr>
            <w:tcW w:type="dxa" w:w="22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اقتصادي</w:t>
            </w:r>
          </w:p>
        </w:tc>
        <w:tc>
          <w:tcPr>
            <w:tcW w:type="dxa" w:w="22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قياسي</w:t>
            </w:r>
          </w:p>
        </w:tc>
        <w:tc>
          <w:tcPr>
            <w:tcW w:type="dxa" w:w="22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فخم</w:t>
            </w:r>
          </w:p>
        </w:tc>
      </w:tr>
      <w:tr>
        <w:tc>
          <w:tcPr>
            <w:tcW w:type="dxa" w:w="2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مساحة 500 م²</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380 – 520 مليون</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620 – 800 مليون</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1.05 – 1.30 مليار</w:t>
            </w:r>
          </w:p>
        </w:tc>
      </w:tr>
      <w:tr>
        <w:tc>
          <w:tcPr>
            <w:tcW w:type="dxa" w:w="26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مساحة 1000 م²</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0.80 – 1.00 مليار</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1.25 – 1.55 مليار</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2.15 – 2.60 مليار</w:t>
            </w:r>
          </w:p>
        </w:tc>
      </w:tr>
    </w:tbl>
    <w:p>
      <w:pPr>
        <w:spacing w:after="200" w:before="200"/>
      </w:pPr>
    </w:p>
    <w:p>
      <w:pPr>
        <w:bidi/>
        <w:spacing w:after="80" w:before="80" w:line="360"/>
        <w:jc w:val="both"/>
      </w:pPr>
      <w:r>
        <w:rPr>
          <w:rFonts w:ascii="Arial" w:cs="Arial" w:eastAsia="Arial" w:hAnsi="Arial"/>
          <w:b w:val="false"/>
          <w:bCs w:val="false"/>
          <w:color w:val="000000"/>
          <w:sz w:val="24"/>
          <w:szCs w:val="24"/>
          <w:rtl/>
        </w:rPr>
        <w:t xml:space="preserve">وتُظهر هذه الأرقام أن مساهمة كوادر شعبة تجميل المدينة في تنفيذ الأعمال الموقعية واليدوية تُحقق وفراً يتراوح بين (25% – 35%) من الكلفة السوقية للمقاولة الكاملة، مما يجعل المشروع ضمن المتناول المالي للبلدية مقارنةً بالكلفة الكاملة في حال إحالته كمقاولة شاملة لجهة خارجية.</w:t>
      </w:r>
    </w:p>
    <w:p>
      <w:pPr>
        <w:bidi/>
        <w:spacing w:after="80" w:before="80" w:line="360"/>
        <w:jc w:val="both"/>
      </w:pPr>
      <w:r>
        <w:rPr>
          <w:rFonts w:ascii="Arial" w:cs="Arial" w:eastAsia="Arial" w:hAnsi="Arial"/>
          <w:b w:val="false"/>
          <w:bCs w:val="false"/>
          <w:color w:val="000000"/>
          <w:sz w:val="24"/>
          <w:szCs w:val="24"/>
          <w:rtl/>
        </w:rPr>
        <w:t xml:space="preserve">وتوصي شعبة تجميل المدينة باعتماد الخيار الثاني (1000 م²) بمواصفات قياسية في حال توفّر المساحة والميزانية، أو اعتماد الخيار الأول (500 م²) بمواصفات قياسية كمرحلة أولى قابلة للتوسعة لاحقاً، وذلك لِما يوفّره المشروع من قيمة اجتماعية وحضرية مضافة، إلى جانب إيرادات تشغيلية معتدلة قابلة للاسترداد خلال (3 – 5) سنوات.</w:t>
      </w:r>
    </w:p>
    <w:p>
      <w:pPr>
        <w:pStyle w:val="Heading1"/>
        <w:pageBreakBefore/>
        <w:bidi/>
        <w:spacing w:after="200" w:before="360"/>
        <w:jc w:val="right"/>
      </w:pPr>
      <w:r>
        <w:rPr>
          <w:rFonts w:ascii="Arial" w:cs="Arial" w:eastAsia="Arial" w:hAnsi="Arial"/>
          <w:b/>
          <w:bCs/>
          <w:color w:val="1F4E79"/>
          <w:sz w:val="36"/>
          <w:szCs w:val="36"/>
          <w:rtl/>
        </w:rPr>
        <w:t xml:space="preserve">1. مقدمة المشروع</w:t>
      </w:r>
    </w:p>
    <w:p>
      <w:pPr>
        <w:pStyle w:val="Heading2"/>
        <w:bidi/>
        <w:spacing w:after="140" w:before="240"/>
        <w:jc w:val="right"/>
      </w:pPr>
      <w:r>
        <w:rPr>
          <w:rFonts w:ascii="Arial" w:cs="Arial" w:eastAsia="Arial" w:hAnsi="Arial"/>
          <w:b/>
          <w:bCs/>
          <w:color w:val="2E75B6"/>
          <w:sz w:val="30"/>
          <w:szCs w:val="30"/>
          <w:rtl/>
        </w:rPr>
        <w:t xml:space="preserve">1.1 مقدمة عامة</w:t>
      </w:r>
    </w:p>
    <w:p>
      <w:pPr>
        <w:bidi/>
        <w:spacing w:after="80" w:before="80" w:line="360"/>
        <w:jc w:val="both"/>
      </w:pPr>
      <w:r>
        <w:rPr>
          <w:rFonts w:ascii="Arial" w:cs="Arial" w:eastAsia="Arial" w:hAnsi="Arial"/>
          <w:b w:val="false"/>
          <w:bCs w:val="false"/>
          <w:color w:val="000000"/>
          <w:sz w:val="24"/>
          <w:szCs w:val="24"/>
          <w:rtl/>
        </w:rPr>
        <w:t xml:space="preserve">تُعدّ المساحات العامة المفتوحة من أهم الركائز التي تُقاس بها جودة الحياة الحضرية في المدن المعاصرة، إذ تمثّل المتنفس اليومي للعوائل، وحاضنة النشاط البدني والاجتماعي للأطفال والشباب، والوجه الجمالي الأول الذي يعكس مستوى الخدمات البلدية. وقد أولت مديرية بلدية البصرة هذا الجانب اهتماماً متزايداً في السنوات الأخيرة، عبر مشاريع التجميل الحضري والتشجير وتطوير الأرصفة والميادين.</w:t>
      </w:r>
    </w:p>
    <w:p>
      <w:pPr>
        <w:bidi/>
        <w:spacing w:after="80" w:before="80" w:line="360"/>
        <w:jc w:val="both"/>
      </w:pPr>
      <w:r>
        <w:rPr>
          <w:rFonts w:ascii="Arial" w:cs="Arial" w:eastAsia="Arial" w:hAnsi="Arial"/>
          <w:b w:val="false"/>
          <w:bCs w:val="false"/>
          <w:color w:val="000000"/>
          <w:sz w:val="24"/>
          <w:szCs w:val="24"/>
          <w:rtl/>
        </w:rPr>
        <w:t xml:space="preserve">وضمن هذا التوجّه العام، تطرح شعبة تجميل المدينة مقترح إنشاء مرفق ترفيهي عائلي بلدي مفتوح على قطعة أرض من ممتلكات البلدية، يجمع بين العناصر الرياضية الحديثة (البادل والبولينغ الترفيهي)، والعناصر العائلية (الجلسات المظلَّلة، نافورات الشرب، المساحات الخضراء)، والعناصر الخدمية (الكافيه/المطعم، الصحيات، مسار الجري)، ضمن منظومة تصميمية مفتوحة بدون سياج محيطي، تكفل سهولة الوصول وتعزز الانتماء البصري للمكان.</w:t>
      </w:r>
    </w:p>
    <w:p>
      <w:pPr>
        <w:pStyle w:val="Heading2"/>
        <w:bidi/>
        <w:spacing w:after="140" w:before="240"/>
        <w:jc w:val="right"/>
      </w:pPr>
      <w:r>
        <w:rPr>
          <w:rFonts w:ascii="Arial" w:cs="Arial" w:eastAsia="Arial" w:hAnsi="Arial"/>
          <w:b/>
          <w:bCs/>
          <w:color w:val="2E75B6"/>
          <w:sz w:val="30"/>
          <w:szCs w:val="30"/>
          <w:rtl/>
        </w:rPr>
        <w:t xml:space="preserve">1.2 خلفية المقترح</w:t>
      </w:r>
    </w:p>
    <w:p>
      <w:pPr>
        <w:bidi/>
        <w:spacing w:after="80" w:before="80" w:line="360"/>
        <w:jc w:val="both"/>
      </w:pPr>
      <w:r>
        <w:rPr>
          <w:rFonts w:ascii="Arial" w:cs="Arial" w:eastAsia="Arial" w:hAnsi="Arial"/>
          <w:b w:val="false"/>
          <w:bCs w:val="false"/>
          <w:color w:val="000000"/>
          <w:sz w:val="24"/>
          <w:szCs w:val="24"/>
          <w:rtl/>
        </w:rPr>
        <w:t xml:space="preserve">نشأت فكرة المشروع كمعالجة عملية لجملة من الملاحظات الميدانية التي تتلقّاها الشعبة، أبرزها: شُحّ المساحات العائلية المنظَّمة في عدد من المناطق السكنية، وغياب البدائل الرياضية القريبة من المساكن، إلى جانب الحاجة إلى إعادة توظيف بعض قطع الأراضي البلدية غير المستثمرة بصورة أمثل، بدلاً من إبقائها مساحات مهملة عرضة للتجاوزات والتشويه البصري.</w:t>
      </w:r>
    </w:p>
    <w:p>
      <w:pPr>
        <w:bidi/>
        <w:spacing w:after="80" w:before="80" w:line="360"/>
        <w:jc w:val="both"/>
      </w:pPr>
      <w:r>
        <w:rPr>
          <w:rFonts w:ascii="Arial" w:cs="Arial" w:eastAsia="Arial" w:hAnsi="Arial"/>
          <w:b w:val="false"/>
          <w:bCs w:val="false"/>
          <w:color w:val="000000"/>
          <w:sz w:val="24"/>
          <w:szCs w:val="24"/>
          <w:rtl/>
        </w:rPr>
        <w:t xml:space="preserve">وقد رُوعيَ في صياغة المقترح أن يكون قابلاً للتنفيذ على مرحلتين، وبتكاليف مرنة، وبأعلى نسبة ممكنة من الجهد الذاتي للبلدية، وذلك حتى لا يُشكّل عبئاً مالياً مفاجئاً على الموازنة، ويمكن إدراجه ضمن خطط الموسم المقبل بكلفة معقولة.</w:t>
      </w:r>
    </w:p>
    <w:p>
      <w:pPr>
        <w:pStyle w:val="Heading2"/>
        <w:bidi/>
        <w:spacing w:after="140" w:before="240"/>
        <w:jc w:val="right"/>
      </w:pPr>
      <w:r>
        <w:rPr>
          <w:rFonts w:ascii="Arial" w:cs="Arial" w:eastAsia="Arial" w:hAnsi="Arial"/>
          <w:b/>
          <w:bCs/>
          <w:color w:val="2E75B6"/>
          <w:sz w:val="30"/>
          <w:szCs w:val="30"/>
          <w:rtl/>
        </w:rPr>
        <w:t xml:space="preserve">1.3 السياق الحضري للمدينة</w:t>
      </w:r>
    </w:p>
    <w:p>
      <w:pPr>
        <w:bidi/>
        <w:spacing w:after="80" w:before="80" w:line="360"/>
        <w:jc w:val="both"/>
      </w:pPr>
      <w:r>
        <w:rPr>
          <w:rFonts w:ascii="Arial" w:cs="Arial" w:eastAsia="Arial" w:hAnsi="Arial"/>
          <w:b w:val="false"/>
          <w:bCs w:val="false"/>
          <w:color w:val="000000"/>
          <w:sz w:val="24"/>
          <w:szCs w:val="24"/>
          <w:rtl/>
        </w:rPr>
        <w:t xml:space="preserve">تشهد محافظة البصرة نمواً سكانياً متواصلاً، يُقابله طلب متزايد على المساحات العامة، خصوصاً المساحات العائلية الآمنة. وتُمثّل هذه الفجوة فرصة حقيقية للبلدية لتعزيز حضورها كمزوّد رئيسي للخدمات الترفيهية ذات الطابع العام، بدلاً من ترك المجال للمشاريع الخاصة المغلقة (المسوّرة) التي تستثني فئات واسعة من المجتمع بسبب أسعار دخولها أو طبيعتها التجارية البحتة.</w:t>
      </w:r>
    </w:p>
    <w:p>
      <w:pPr>
        <w:bidi/>
        <w:spacing w:after="80" w:before="80" w:line="360"/>
        <w:jc w:val="both"/>
      </w:pPr>
      <w:r>
        <w:rPr>
          <w:rFonts w:ascii="Arial" w:cs="Arial" w:eastAsia="Arial" w:hAnsi="Arial"/>
          <w:b w:val="false"/>
          <w:bCs w:val="false"/>
          <w:color w:val="000000"/>
          <w:sz w:val="24"/>
          <w:szCs w:val="24"/>
          <w:rtl/>
        </w:rPr>
        <w:t xml:space="preserve">ويأتي هذا المشروع كنموذج تجريبي قابل للتكرار في مناطق أخرى من المحافظة في حال نجاحه، بحيث تُكوّن البلدية شبكة من المرافق العائلية الصغيرة الموزّعة جغرافياً، تخدم مختلف الأحياء بأسلوب موحَّد ومنخفض الكلفة.</w:t>
      </w:r>
    </w:p>
    <w:p>
      <w:pPr>
        <w:pStyle w:val="Heading1"/>
        <w:pageBreakBefore/>
        <w:bidi/>
        <w:spacing w:after="200" w:before="360"/>
        <w:jc w:val="right"/>
      </w:pPr>
      <w:r>
        <w:rPr>
          <w:rFonts w:ascii="Arial" w:cs="Arial" w:eastAsia="Arial" w:hAnsi="Arial"/>
          <w:b/>
          <w:bCs/>
          <w:color w:val="1F4E79"/>
          <w:sz w:val="36"/>
          <w:szCs w:val="36"/>
          <w:rtl/>
        </w:rPr>
        <w:t xml:space="preserve">2. فكرة المشروع وأهدافه</w:t>
      </w:r>
    </w:p>
    <w:p>
      <w:pPr>
        <w:pStyle w:val="Heading2"/>
        <w:bidi/>
        <w:spacing w:after="140" w:before="240"/>
        <w:jc w:val="right"/>
      </w:pPr>
      <w:r>
        <w:rPr>
          <w:rFonts w:ascii="Arial" w:cs="Arial" w:eastAsia="Arial" w:hAnsi="Arial"/>
          <w:b/>
          <w:bCs/>
          <w:color w:val="2E75B6"/>
          <w:sz w:val="30"/>
          <w:szCs w:val="30"/>
          <w:rtl/>
        </w:rPr>
        <w:t xml:space="preserve">2.1 فكرة المشروع</w:t>
      </w:r>
    </w:p>
    <w:p>
      <w:pPr>
        <w:bidi/>
        <w:spacing w:after="80" w:before="80" w:line="360"/>
        <w:jc w:val="both"/>
      </w:pPr>
      <w:r>
        <w:rPr>
          <w:rFonts w:ascii="Arial" w:cs="Arial" w:eastAsia="Arial" w:hAnsi="Arial"/>
          <w:b w:val="false"/>
          <w:bCs w:val="false"/>
          <w:color w:val="000000"/>
          <w:sz w:val="24"/>
          <w:szCs w:val="24"/>
          <w:rtl/>
        </w:rPr>
        <w:t xml:space="preserve">الفكرة الجوهرية للمشروع: إنشاء مرفق ترفيهي عائلي بلدي مفتوح، يُقام على قطعة أرض تابعة لمديرية بلدية البصرة، يتسم بالطابع العام (غير التجاري المغلق)، ويضمّ ضمن حدوده عناصر رياضية حديثة، وجلسات عائلية مظلَّلة، وكافيه/مطعم بسيط، وممرات وأرضيات منظَّمة، ضمن هوية بصرية بلدية موحَّدة.</w:t>
      </w:r>
    </w:p>
    <w:p>
      <w:pPr>
        <w:bidi/>
        <w:spacing w:after="80" w:before="80" w:line="360"/>
        <w:jc w:val="both"/>
      </w:pPr>
      <w:r>
        <w:rPr>
          <w:rFonts w:ascii="Arial" w:cs="Arial" w:eastAsia="Arial" w:hAnsi="Arial"/>
          <w:b w:val="false"/>
          <w:bCs w:val="false"/>
          <w:color w:val="000000"/>
          <w:sz w:val="24"/>
          <w:szCs w:val="24"/>
          <w:rtl/>
        </w:rPr>
        <w:t xml:space="preserve">ويتميّز التصميم المقترح بالخصائص التالية: غياب السياج المحيط الكامل واستبداله بحدود ديكورية لا تحجب الرؤية، أسقف مفتوحة وخفيفة (مظلات وقواطع نسيجية)، أولوية للمشاة وسهولة الوصول، توزيع متوازن بين العناصر المغطّاة والمكشوفة، إضافة إلى دمج المساحات الخضراء بالعناصر الرياضية والخدمية ضمن نسيج واحد متّسق.</w:t>
      </w:r>
    </w:p>
    <w:p>
      <w:pPr>
        <w:pStyle w:val="Heading2"/>
        <w:bidi/>
        <w:spacing w:after="140" w:before="240"/>
        <w:jc w:val="right"/>
      </w:pPr>
      <w:r>
        <w:rPr>
          <w:rFonts w:ascii="Arial" w:cs="Arial" w:eastAsia="Arial" w:hAnsi="Arial"/>
          <w:b/>
          <w:bCs/>
          <w:color w:val="2E75B6"/>
          <w:sz w:val="30"/>
          <w:szCs w:val="30"/>
          <w:rtl/>
        </w:rPr>
        <w:t xml:space="preserve">2.2 الأهداف العامة</w:t>
      </w:r>
    </w:p>
    <w:p>
      <w:pPr>
        <w:pStyle w:val="ListParagraph"/>
        <w:numPr>
          <w:ilvl w:val="0"/>
          <w:numId w:val="3"/>
        </w:numPr>
        <w:bidi/>
        <w:spacing w:after="40" w:before="40" w:line="320"/>
        <w:jc w:val="right"/>
      </w:pPr>
      <w:r>
        <w:rPr>
          <w:rFonts w:ascii="Arial" w:cs="Arial" w:eastAsia="Arial" w:hAnsi="Arial"/>
          <w:sz w:val="24"/>
          <w:szCs w:val="24"/>
          <w:rtl/>
        </w:rPr>
        <w:t xml:space="preserve">توفير متنفّس ترفيهي عائلي مفتوح ومجاني الوصول، يخدم العوائل في النطاق الجغرافي للمشروع.</w:t>
      </w:r>
    </w:p>
    <w:p>
      <w:pPr>
        <w:pStyle w:val="ListParagraph"/>
        <w:numPr>
          <w:ilvl w:val="0"/>
          <w:numId w:val="3"/>
        </w:numPr>
        <w:bidi/>
        <w:spacing w:after="40" w:before="40" w:line="320"/>
        <w:jc w:val="right"/>
      </w:pPr>
      <w:r>
        <w:rPr>
          <w:rFonts w:ascii="Arial" w:cs="Arial" w:eastAsia="Arial" w:hAnsi="Arial"/>
          <w:sz w:val="24"/>
          <w:szCs w:val="24"/>
          <w:rtl/>
        </w:rPr>
        <w:t xml:space="preserve">تحسين الواجهة الحضرية للمدينة عبر استثمار قطعة أرض بلدية بأسلوب مدروس وذي طابع جمالي.</w:t>
      </w:r>
    </w:p>
    <w:p>
      <w:pPr>
        <w:pStyle w:val="ListParagraph"/>
        <w:numPr>
          <w:ilvl w:val="0"/>
          <w:numId w:val="3"/>
        </w:numPr>
        <w:bidi/>
        <w:spacing w:after="40" w:before="40" w:line="320"/>
        <w:jc w:val="right"/>
      </w:pPr>
      <w:r>
        <w:rPr>
          <w:rFonts w:ascii="Arial" w:cs="Arial" w:eastAsia="Arial" w:hAnsi="Arial"/>
          <w:sz w:val="24"/>
          <w:szCs w:val="24"/>
          <w:rtl/>
        </w:rPr>
        <w:t xml:space="preserve">تشجيع النشاط البدني وممارسة الرياضات الحديثة (البادل، البولينغ الترفيهي، الجري) لمختلف الفئات العمرية.</w:t>
      </w:r>
    </w:p>
    <w:p>
      <w:pPr>
        <w:pStyle w:val="ListParagraph"/>
        <w:numPr>
          <w:ilvl w:val="0"/>
          <w:numId w:val="3"/>
        </w:numPr>
        <w:bidi/>
        <w:spacing w:after="40" w:before="40" w:line="320"/>
        <w:jc w:val="right"/>
      </w:pPr>
      <w:r>
        <w:rPr>
          <w:rFonts w:ascii="Arial" w:cs="Arial" w:eastAsia="Arial" w:hAnsi="Arial"/>
          <w:sz w:val="24"/>
          <w:szCs w:val="24"/>
          <w:rtl/>
        </w:rPr>
        <w:t xml:space="preserve">توفير منصّة عائلية آمنة للأطفال والمراهقين، بديلاً عن الفراغ الترفيهي في كثير من الأحياء.</w:t>
      </w:r>
    </w:p>
    <w:p>
      <w:pPr>
        <w:pStyle w:val="ListParagraph"/>
        <w:numPr>
          <w:ilvl w:val="0"/>
          <w:numId w:val="3"/>
        </w:numPr>
        <w:bidi/>
        <w:spacing w:after="40" w:before="40" w:line="320"/>
        <w:jc w:val="right"/>
      </w:pPr>
      <w:r>
        <w:rPr>
          <w:rFonts w:ascii="Arial" w:cs="Arial" w:eastAsia="Arial" w:hAnsi="Arial"/>
          <w:sz w:val="24"/>
          <w:szCs w:val="24"/>
          <w:rtl/>
        </w:rPr>
        <w:t xml:space="preserve">تعزيز الإيراد البلدي من خلال إيرادات تشغيلية معقولة قابلة للاسترداد خلال (3 – 5) سنوات.</w:t>
      </w:r>
    </w:p>
    <w:p>
      <w:pPr>
        <w:pStyle w:val="Heading2"/>
        <w:bidi/>
        <w:spacing w:after="140" w:before="240"/>
        <w:jc w:val="right"/>
      </w:pPr>
      <w:r>
        <w:rPr>
          <w:rFonts w:ascii="Arial" w:cs="Arial" w:eastAsia="Arial" w:hAnsi="Arial"/>
          <w:b/>
          <w:bCs/>
          <w:color w:val="2E75B6"/>
          <w:sz w:val="30"/>
          <w:szCs w:val="30"/>
          <w:rtl/>
        </w:rPr>
        <w:t xml:space="preserve">2.3 الأهداف الفرعية</w:t>
      </w:r>
    </w:p>
    <w:p>
      <w:pPr>
        <w:pStyle w:val="ListParagraph"/>
        <w:numPr>
          <w:ilvl w:val="0"/>
          <w:numId w:val="2"/>
        </w:numPr>
        <w:bidi/>
        <w:spacing w:after="40" w:before="40" w:line="320"/>
        <w:jc w:val="right"/>
      </w:pPr>
      <w:r>
        <w:rPr>
          <w:rFonts w:ascii="Arial" w:cs="Arial" w:eastAsia="Arial" w:hAnsi="Arial"/>
          <w:sz w:val="24"/>
          <w:szCs w:val="24"/>
          <w:rtl/>
        </w:rPr>
        <w:t xml:space="preserve">تطوير قدرات شعبة تجميل المدينة في تنفيذ المشاريع المتكاملة بدلاً من الأعمال المتفرّقة.</w:t>
      </w:r>
    </w:p>
    <w:p>
      <w:pPr>
        <w:pStyle w:val="ListParagraph"/>
        <w:numPr>
          <w:ilvl w:val="0"/>
          <w:numId w:val="2"/>
        </w:numPr>
        <w:bidi/>
        <w:spacing w:after="40" w:before="40" w:line="320"/>
        <w:jc w:val="right"/>
      </w:pPr>
      <w:r>
        <w:rPr>
          <w:rFonts w:ascii="Arial" w:cs="Arial" w:eastAsia="Arial" w:hAnsi="Arial"/>
          <w:sz w:val="24"/>
          <w:szCs w:val="24"/>
          <w:rtl/>
        </w:rPr>
        <w:t xml:space="preserve">توظيف الكوادر والآليات المتوفرة لدى البلدية ضمن مشروع موحَّد له هوية واضحة ونتائج قابلة للقياس.</w:t>
      </w:r>
    </w:p>
    <w:p>
      <w:pPr>
        <w:pStyle w:val="ListParagraph"/>
        <w:numPr>
          <w:ilvl w:val="0"/>
          <w:numId w:val="2"/>
        </w:numPr>
        <w:bidi/>
        <w:spacing w:after="40" w:before="40" w:line="320"/>
        <w:jc w:val="right"/>
      </w:pPr>
      <w:r>
        <w:rPr>
          <w:rFonts w:ascii="Arial" w:cs="Arial" w:eastAsia="Arial" w:hAnsi="Arial"/>
          <w:sz w:val="24"/>
          <w:szCs w:val="24"/>
          <w:rtl/>
        </w:rPr>
        <w:t xml:space="preserve">دعم الورش والمصنّعين المحليين عبر إحالة الفقرات التخصصية إليهم بدلاً من الاستيراد الكامل.</w:t>
      </w:r>
    </w:p>
    <w:p>
      <w:pPr>
        <w:pStyle w:val="ListParagraph"/>
        <w:numPr>
          <w:ilvl w:val="0"/>
          <w:numId w:val="2"/>
        </w:numPr>
        <w:bidi/>
        <w:spacing w:after="40" w:before="40" w:line="320"/>
        <w:jc w:val="right"/>
      </w:pPr>
      <w:r>
        <w:rPr>
          <w:rFonts w:ascii="Arial" w:cs="Arial" w:eastAsia="Arial" w:hAnsi="Arial"/>
          <w:sz w:val="24"/>
          <w:szCs w:val="24"/>
          <w:rtl/>
        </w:rPr>
        <w:t xml:space="preserve">بناء نموذج تجريبي ناجح قابل للتكرار في مواقع أخرى تابعة للبلدية بنفس الهوية البصرية.</w:t>
      </w:r>
    </w:p>
    <w:p>
      <w:pPr>
        <w:pStyle w:val="ListParagraph"/>
        <w:numPr>
          <w:ilvl w:val="0"/>
          <w:numId w:val="2"/>
        </w:numPr>
        <w:bidi/>
        <w:spacing w:after="40" w:before="40" w:line="320"/>
        <w:jc w:val="right"/>
      </w:pPr>
      <w:r>
        <w:rPr>
          <w:rFonts w:ascii="Arial" w:cs="Arial" w:eastAsia="Arial" w:hAnsi="Arial"/>
          <w:sz w:val="24"/>
          <w:szCs w:val="24"/>
          <w:rtl/>
        </w:rPr>
        <w:t xml:space="preserve">تقديم صورة بلدية إيجابية للمواطن من خلال خدمة ملموسة قريبة من الواقع اليومي.</w:t>
      </w:r>
    </w:p>
    <w:p>
      <w:pPr>
        <w:pStyle w:val="Heading2"/>
        <w:bidi/>
        <w:spacing w:after="140" w:before="240"/>
        <w:jc w:val="right"/>
      </w:pPr>
      <w:r>
        <w:rPr>
          <w:rFonts w:ascii="Arial" w:cs="Arial" w:eastAsia="Arial" w:hAnsi="Arial"/>
          <w:b/>
          <w:bCs/>
          <w:color w:val="2E75B6"/>
          <w:sz w:val="30"/>
          <w:szCs w:val="30"/>
          <w:rtl/>
        </w:rPr>
        <w:t xml:space="preserve">2.4 المخرجات المتوقعة</w:t>
      </w:r>
    </w:p>
    <w:p>
      <w:pPr>
        <w:pStyle w:val="ListParagraph"/>
        <w:numPr>
          <w:ilvl w:val="0"/>
          <w:numId w:val="2"/>
        </w:numPr>
        <w:bidi/>
        <w:spacing w:after="40" w:before="40" w:line="320"/>
        <w:jc w:val="right"/>
      </w:pPr>
      <w:r>
        <w:rPr>
          <w:rFonts w:ascii="Arial" w:cs="Arial" w:eastAsia="Arial" w:hAnsi="Arial"/>
          <w:sz w:val="24"/>
          <w:szCs w:val="24"/>
          <w:rtl/>
        </w:rPr>
        <w:t xml:space="preserve">مرفق عائلي بلدي مكتمل الخدمات، جاهز للتشغيل خلال (8 – 12) شهراً من تاريخ المباشرة.</w:t>
      </w:r>
    </w:p>
    <w:p>
      <w:pPr>
        <w:pStyle w:val="ListParagraph"/>
        <w:numPr>
          <w:ilvl w:val="0"/>
          <w:numId w:val="2"/>
        </w:numPr>
        <w:bidi/>
        <w:spacing w:after="40" w:before="40" w:line="320"/>
        <w:jc w:val="right"/>
      </w:pPr>
      <w:r>
        <w:rPr>
          <w:rFonts w:ascii="Arial" w:cs="Arial" w:eastAsia="Arial" w:hAnsi="Arial"/>
          <w:sz w:val="24"/>
          <w:szCs w:val="24"/>
          <w:rtl/>
        </w:rPr>
        <w:t xml:space="preserve">منظومة هوية بصرية موحَّدة (لوحات إرشاد، أرقام، تحذيرات سلامة، شعار بلدي) قابلة للتعميم.</w:t>
      </w:r>
    </w:p>
    <w:p>
      <w:pPr>
        <w:pStyle w:val="ListParagraph"/>
        <w:numPr>
          <w:ilvl w:val="0"/>
          <w:numId w:val="2"/>
        </w:numPr>
        <w:bidi/>
        <w:spacing w:after="40" w:before="40" w:line="320"/>
        <w:jc w:val="right"/>
      </w:pPr>
      <w:r>
        <w:rPr>
          <w:rFonts w:ascii="Arial" w:cs="Arial" w:eastAsia="Arial" w:hAnsi="Arial"/>
          <w:sz w:val="24"/>
          <w:szCs w:val="24"/>
          <w:rtl/>
        </w:rPr>
        <w:t xml:space="preserve">إيراد تشغيلي شهري متوقع يتناسب مع حجم الخدمات المقدَّمة، يُسترَد بموجبه رأس المال خلال فترة معقولة.</w:t>
      </w:r>
    </w:p>
    <w:p>
      <w:pPr>
        <w:pStyle w:val="ListParagraph"/>
        <w:numPr>
          <w:ilvl w:val="0"/>
          <w:numId w:val="2"/>
        </w:numPr>
        <w:bidi/>
        <w:spacing w:after="40" w:before="40" w:line="320"/>
        <w:jc w:val="right"/>
      </w:pPr>
      <w:r>
        <w:rPr>
          <w:rFonts w:ascii="Arial" w:cs="Arial" w:eastAsia="Arial" w:hAnsi="Arial"/>
          <w:sz w:val="24"/>
          <w:szCs w:val="24"/>
          <w:rtl/>
        </w:rPr>
        <w:t xml:space="preserve">تجربة بلدية موثَّقة، يمكن البناء عليها في تطوير المرافق العائلية المستقبلية.</w:t>
      </w:r>
    </w:p>
    <w:p>
      <w:pPr>
        <w:pStyle w:val="Heading1"/>
        <w:pageBreakBefore/>
        <w:bidi/>
        <w:spacing w:after="200" w:before="360"/>
        <w:jc w:val="right"/>
      </w:pPr>
      <w:r>
        <w:rPr>
          <w:rFonts w:ascii="Arial" w:cs="Arial" w:eastAsia="Arial" w:hAnsi="Arial"/>
          <w:b/>
          <w:bCs/>
          <w:color w:val="1F4E79"/>
          <w:sz w:val="36"/>
          <w:szCs w:val="36"/>
          <w:rtl/>
        </w:rPr>
        <w:t xml:space="preserve">3. مبررات المشروع والفئة المستهدفة</w:t>
      </w:r>
    </w:p>
    <w:p>
      <w:pPr>
        <w:pStyle w:val="Heading2"/>
        <w:bidi/>
        <w:spacing w:after="140" w:before="240"/>
        <w:jc w:val="right"/>
      </w:pPr>
      <w:r>
        <w:rPr>
          <w:rFonts w:ascii="Arial" w:cs="Arial" w:eastAsia="Arial" w:hAnsi="Arial"/>
          <w:b/>
          <w:bCs/>
          <w:color w:val="2E75B6"/>
          <w:sz w:val="30"/>
          <w:szCs w:val="30"/>
          <w:rtl/>
        </w:rPr>
        <w:t xml:space="preserve">3.1 المبررات الاجتماعية</w:t>
      </w:r>
    </w:p>
    <w:p>
      <w:pPr>
        <w:bidi/>
        <w:spacing w:after="80" w:before="80" w:line="360"/>
        <w:jc w:val="both"/>
      </w:pPr>
      <w:r>
        <w:rPr>
          <w:rFonts w:ascii="Arial" w:cs="Arial" w:eastAsia="Arial" w:hAnsi="Arial"/>
          <w:b w:val="false"/>
          <w:bCs w:val="false"/>
          <w:color w:val="000000"/>
          <w:sz w:val="24"/>
          <w:szCs w:val="24"/>
          <w:rtl/>
        </w:rPr>
        <w:t xml:space="preserve">تعاني كثير من الأحياء السكنية في البصرة من نقص واضح في المساحات الترفيهية الآمنة الموجَّهة للعوائل، ما ينعكس على نمط الحياة اليومي للأطفال والمراهقين، ويزيد من الضغط على المراكز التجارية المغلقة التي تستهلك الوقت والجهد والمال. وتمثّل هذه الفجوة أحد أبرز المبررات الاجتماعية لإقامة مرفق عائلي مفتوح بأسعار رمزية أو مجاناً (في الجزء الترفيهي العام).</w:t>
      </w:r>
    </w:p>
    <w:p>
      <w:pPr>
        <w:pStyle w:val="Heading2"/>
        <w:bidi/>
        <w:spacing w:after="140" w:before="240"/>
        <w:jc w:val="right"/>
      </w:pPr>
      <w:r>
        <w:rPr>
          <w:rFonts w:ascii="Arial" w:cs="Arial" w:eastAsia="Arial" w:hAnsi="Arial"/>
          <w:b/>
          <w:bCs/>
          <w:color w:val="2E75B6"/>
          <w:sz w:val="30"/>
          <w:szCs w:val="30"/>
          <w:rtl/>
        </w:rPr>
        <w:t xml:space="preserve">3.2 المبررات الحضرية والبصرية</w:t>
      </w:r>
    </w:p>
    <w:p>
      <w:pPr>
        <w:bidi/>
        <w:spacing w:after="80" w:before="80" w:line="360"/>
        <w:jc w:val="both"/>
      </w:pPr>
      <w:r>
        <w:rPr>
          <w:rFonts w:ascii="Arial" w:cs="Arial" w:eastAsia="Arial" w:hAnsi="Arial"/>
          <w:b w:val="false"/>
          <w:bCs w:val="false"/>
          <w:color w:val="000000"/>
          <w:sz w:val="24"/>
          <w:szCs w:val="24"/>
          <w:rtl/>
        </w:rPr>
        <w:t xml:space="preserve">تُسهم قطع الأراضي البلدية غير المستثمرة في تشويه الواجهة الحضرية، وتتحوّل في كثير من الأحيان إلى مكبّات عفوية أو مواقف غير منظَّمة. وإعادة توظيف هذه الأرض بأسلوب تصميمي مدروس يحقق رفعاً ملموساً لجودة المشهد الحضري في المنطقة المحيطة، ويُشكّل عنصر جذب بصري إيجابي.</w:t>
      </w:r>
    </w:p>
    <w:p>
      <w:pPr>
        <w:pStyle w:val="Heading2"/>
        <w:bidi/>
        <w:spacing w:after="140" w:before="240"/>
        <w:jc w:val="right"/>
      </w:pPr>
      <w:r>
        <w:rPr>
          <w:rFonts w:ascii="Arial" w:cs="Arial" w:eastAsia="Arial" w:hAnsi="Arial"/>
          <w:b/>
          <w:bCs/>
          <w:color w:val="2E75B6"/>
          <w:sz w:val="30"/>
          <w:szCs w:val="30"/>
          <w:rtl/>
        </w:rPr>
        <w:t xml:space="preserve">3.3 المبررات الاقتصادية</w:t>
      </w:r>
    </w:p>
    <w:p>
      <w:pPr>
        <w:bidi/>
        <w:spacing w:after="80" w:before="80" w:line="360"/>
        <w:jc w:val="both"/>
      </w:pPr>
      <w:r>
        <w:rPr>
          <w:rFonts w:ascii="Arial" w:cs="Arial" w:eastAsia="Arial" w:hAnsi="Arial"/>
          <w:b w:val="false"/>
          <w:bCs w:val="false"/>
          <w:color w:val="000000"/>
          <w:sz w:val="24"/>
          <w:szCs w:val="24"/>
          <w:rtl/>
        </w:rPr>
        <w:t xml:space="preserve">على عكس الانطباع الشائع، فإن المشاريع البلدية ذات الطابع التشاركي (كوادر بلدية + ورش محلية) تتمتع بكلفة تأسيس أقل بنسبة معتبرة من المقاولات الكاملة. كما أن الإيرادات الناتجة عن العناصر التشغيلية (تأجير الكافيه/المطعم، حصص الملاعب، الفعاليات) قابلة لتغطية المصاريف التشغيلية بسهولة، وتحقيق فائض معقول يُسهم في استرداد رأس المال خلال فترة زمنية مقبولة.</w:t>
      </w:r>
    </w:p>
    <w:p>
      <w:pPr>
        <w:pStyle w:val="Heading2"/>
        <w:bidi/>
        <w:spacing w:after="140" w:before="240"/>
        <w:jc w:val="right"/>
      </w:pPr>
      <w:r>
        <w:rPr>
          <w:rFonts w:ascii="Arial" w:cs="Arial" w:eastAsia="Arial" w:hAnsi="Arial"/>
          <w:b/>
          <w:bCs/>
          <w:color w:val="2E75B6"/>
          <w:sz w:val="30"/>
          <w:szCs w:val="30"/>
          <w:rtl/>
        </w:rPr>
        <w:t xml:space="preserve">3.4 المبررات المؤسساتية</w:t>
      </w:r>
    </w:p>
    <w:p>
      <w:pPr>
        <w:bidi/>
        <w:spacing w:after="80" w:before="80" w:line="360"/>
        <w:jc w:val="both"/>
      </w:pPr>
      <w:r>
        <w:rPr>
          <w:rFonts w:ascii="Arial" w:cs="Arial" w:eastAsia="Arial" w:hAnsi="Arial"/>
          <w:b w:val="false"/>
          <w:bCs w:val="false"/>
          <w:color w:val="000000"/>
          <w:sz w:val="24"/>
          <w:szCs w:val="24"/>
          <w:rtl/>
        </w:rPr>
        <w:t xml:space="preserve">يُتيح هذا المشروع فرصة عملية لإظهار قدرة شعبة تجميل المدينة على إدارة وتنفيذ مشاريع متكاملة، تجمع بين أكثر من اختصاص (التشجير، الإنارة، النصب، الديكور، الأعمال المدنية)، ضمن مشروع واحد بمخرجات واضحة، ما يُعزّز الثقة المؤسسية في الشعبة، ويُهيئ الأرضية لإسناد مشاريع مماثلة لها مستقبلاً.</w:t>
      </w:r>
    </w:p>
    <w:p>
      <w:pPr>
        <w:pStyle w:val="Heading2"/>
        <w:bidi/>
        <w:spacing w:after="140" w:before="240"/>
        <w:jc w:val="right"/>
      </w:pPr>
      <w:r>
        <w:rPr>
          <w:rFonts w:ascii="Arial" w:cs="Arial" w:eastAsia="Arial" w:hAnsi="Arial"/>
          <w:b/>
          <w:bCs/>
          <w:color w:val="2E75B6"/>
          <w:sz w:val="30"/>
          <w:szCs w:val="30"/>
          <w:rtl/>
        </w:rPr>
        <w:t xml:space="preserve">3.5 الفئة المستهدفة</w:t>
      </w:r>
    </w:p>
    <w:p>
      <w:pPr>
        <w:pStyle w:val="ListParagraph"/>
        <w:numPr>
          <w:ilvl w:val="0"/>
          <w:numId w:val="2"/>
        </w:numPr>
        <w:bidi/>
        <w:spacing w:after="40" w:before="40" w:line="320"/>
        <w:jc w:val="right"/>
      </w:pPr>
      <w:r>
        <w:rPr>
          <w:rFonts w:ascii="Arial" w:cs="Arial" w:eastAsia="Arial" w:hAnsi="Arial"/>
          <w:sz w:val="24"/>
          <w:szCs w:val="24"/>
          <w:rtl/>
        </w:rPr>
        <w:t xml:space="preserve">العوائل القاطنة في النطاق الجغرافي القريب من الموقع (دائرة 1.5 – 3 كم).</w:t>
      </w:r>
    </w:p>
    <w:p>
      <w:pPr>
        <w:pStyle w:val="ListParagraph"/>
        <w:numPr>
          <w:ilvl w:val="0"/>
          <w:numId w:val="2"/>
        </w:numPr>
        <w:bidi/>
        <w:spacing w:after="40" w:before="40" w:line="320"/>
        <w:jc w:val="right"/>
      </w:pPr>
      <w:r>
        <w:rPr>
          <w:rFonts w:ascii="Arial" w:cs="Arial" w:eastAsia="Arial" w:hAnsi="Arial"/>
          <w:sz w:val="24"/>
          <w:szCs w:val="24"/>
          <w:rtl/>
        </w:rPr>
        <w:t xml:space="preserve">الأطفال والمراهقون الباحثون عن نشاط رياضي وترفيهي قريب من السكن.</w:t>
      </w:r>
    </w:p>
    <w:p>
      <w:pPr>
        <w:pStyle w:val="ListParagraph"/>
        <w:numPr>
          <w:ilvl w:val="0"/>
          <w:numId w:val="2"/>
        </w:numPr>
        <w:bidi/>
        <w:spacing w:after="40" w:before="40" w:line="320"/>
        <w:jc w:val="right"/>
      </w:pPr>
      <w:r>
        <w:rPr>
          <w:rFonts w:ascii="Arial" w:cs="Arial" w:eastAsia="Arial" w:hAnsi="Arial"/>
          <w:sz w:val="24"/>
          <w:szCs w:val="24"/>
          <w:rtl/>
        </w:rPr>
        <w:t xml:space="preserve">الشباب من محبّي رياضات البادل والبولينغ الترفيهي.</w:t>
      </w:r>
    </w:p>
    <w:p>
      <w:pPr>
        <w:pStyle w:val="ListParagraph"/>
        <w:numPr>
          <w:ilvl w:val="0"/>
          <w:numId w:val="2"/>
        </w:numPr>
        <w:bidi/>
        <w:spacing w:after="40" w:before="40" w:line="320"/>
        <w:jc w:val="right"/>
      </w:pPr>
      <w:r>
        <w:rPr>
          <w:rFonts w:ascii="Arial" w:cs="Arial" w:eastAsia="Arial" w:hAnsi="Arial"/>
          <w:sz w:val="24"/>
          <w:szCs w:val="24"/>
          <w:rtl/>
        </w:rPr>
        <w:t xml:space="preserve">ممارسو الجري وكبار السن الذين يستخدمون مسارات المشي اليومية.</w:t>
      </w:r>
    </w:p>
    <w:p>
      <w:pPr>
        <w:pStyle w:val="ListParagraph"/>
        <w:numPr>
          <w:ilvl w:val="0"/>
          <w:numId w:val="2"/>
        </w:numPr>
        <w:bidi/>
        <w:spacing w:after="40" w:before="40" w:line="320"/>
        <w:jc w:val="right"/>
      </w:pPr>
      <w:r>
        <w:rPr>
          <w:rFonts w:ascii="Arial" w:cs="Arial" w:eastAsia="Arial" w:hAnsi="Arial"/>
          <w:sz w:val="24"/>
          <w:szCs w:val="24"/>
          <w:rtl/>
        </w:rPr>
        <w:t xml:space="preserve">الزائرون المؤقتون (طلبة الجامعات والمعاهد، موظفو الدوائر القريبة).</w:t>
      </w:r>
    </w:p>
    <w:p>
      <w:pPr>
        <w:pStyle w:val="Heading1"/>
        <w:pageBreakBefore/>
        <w:bidi/>
        <w:spacing w:after="200" w:before="360"/>
        <w:jc w:val="right"/>
      </w:pPr>
      <w:r>
        <w:rPr>
          <w:rFonts w:ascii="Arial" w:cs="Arial" w:eastAsia="Arial" w:hAnsi="Arial"/>
          <w:b/>
          <w:bCs/>
          <w:color w:val="1F4E79"/>
          <w:sz w:val="36"/>
          <w:szCs w:val="36"/>
          <w:rtl/>
        </w:rPr>
        <w:t xml:space="preserve">4. الهوية التصميمية والطابع البلدي العائلي</w:t>
      </w:r>
    </w:p>
    <w:p>
      <w:pPr>
        <w:pStyle w:val="Heading2"/>
        <w:bidi/>
        <w:spacing w:after="140" w:before="240"/>
        <w:jc w:val="right"/>
      </w:pPr>
      <w:r>
        <w:rPr>
          <w:rFonts w:ascii="Arial" w:cs="Arial" w:eastAsia="Arial" w:hAnsi="Arial"/>
          <w:b/>
          <w:bCs/>
          <w:color w:val="2E75B6"/>
          <w:sz w:val="30"/>
          <w:szCs w:val="30"/>
          <w:rtl/>
        </w:rPr>
        <w:t xml:space="preserve">4.1 المبادئ التصميمية الأساسية</w:t>
      </w:r>
    </w:p>
    <w:p>
      <w:pPr>
        <w:bidi/>
        <w:spacing w:after="80" w:before="80" w:line="360"/>
        <w:jc w:val="both"/>
      </w:pPr>
      <w:r>
        <w:rPr>
          <w:rFonts w:ascii="Arial" w:cs="Arial" w:eastAsia="Arial" w:hAnsi="Arial"/>
          <w:b w:val="false"/>
          <w:bCs w:val="false"/>
          <w:color w:val="000000"/>
          <w:sz w:val="24"/>
          <w:szCs w:val="24"/>
          <w:rtl/>
        </w:rPr>
        <w:t xml:space="preserve">تستند هوية المشروع إلى مبادئ محدَّدة وواضحة، تُميّزه عن المشاريع التجارية الخاصة، وتُعزّز انتماءه للطابع البلدي العام:</w:t>
      </w:r>
    </w:p>
    <w:p>
      <w:pPr>
        <w:pStyle w:val="ListParagraph"/>
        <w:numPr>
          <w:ilvl w:val="0"/>
          <w:numId w:val="4"/>
        </w:numPr>
        <w:bidi/>
        <w:spacing w:after="40" w:before="40" w:line="320"/>
        <w:jc w:val="right"/>
      </w:pPr>
      <w:r>
        <w:rPr>
          <w:rFonts w:ascii="Arial" w:cs="Arial" w:eastAsia="Arial" w:hAnsi="Arial"/>
          <w:sz w:val="24"/>
          <w:szCs w:val="24"/>
          <w:rtl/>
        </w:rPr>
        <w:t xml:space="preserve">الانفتاح: غياب السياج المحيط الكامل، واستبداله بحدود ديكورية لا تحجب الرؤية، تُشكّل من خلال التشجير المدروس، الكتل الأرضية المنخفضة، والإنارة المحيطية. هذا يجعل المشروع جزءاً من النسيج الحضري لا انعزالاً عنه.</w:t>
      </w:r>
    </w:p>
    <w:p>
      <w:pPr>
        <w:pStyle w:val="ListParagraph"/>
        <w:numPr>
          <w:ilvl w:val="0"/>
          <w:numId w:val="4"/>
        </w:numPr>
        <w:bidi/>
        <w:spacing w:after="40" w:before="40" w:line="320"/>
        <w:jc w:val="right"/>
      </w:pPr>
      <w:r>
        <w:rPr>
          <w:rFonts w:ascii="Arial" w:cs="Arial" w:eastAsia="Arial" w:hAnsi="Arial"/>
          <w:sz w:val="24"/>
          <w:szCs w:val="24"/>
          <w:rtl/>
        </w:rPr>
        <w:t xml:space="preserve">الخفّة الإنشائية: تقليل الأبنية المغلقة إلى الحد الأدنى الضروري (الكافيه، الصحيات، الإدارة)، واستبدال السقوف الثقيلة بمظلات نسيجية، Pergolas، وSails، مما يخفّض الكلفة ويحفظ الطابع المفتوح.</w:t>
      </w:r>
    </w:p>
    <w:p>
      <w:pPr>
        <w:pStyle w:val="ListParagraph"/>
        <w:numPr>
          <w:ilvl w:val="0"/>
          <w:numId w:val="4"/>
        </w:numPr>
        <w:bidi/>
        <w:spacing w:after="40" w:before="40" w:line="320"/>
        <w:jc w:val="right"/>
      </w:pPr>
      <w:r>
        <w:rPr>
          <w:rFonts w:ascii="Arial" w:cs="Arial" w:eastAsia="Arial" w:hAnsi="Arial"/>
          <w:sz w:val="24"/>
          <w:szCs w:val="24"/>
          <w:rtl/>
        </w:rPr>
        <w:t xml:space="preserve">الأولوية للمشاة: لا توجد ممرات للسيارات داخل الموقع. كل الحركة الداخلية للمشاة، والمواقف توضع على المحيط الخارجي بصورة مائلة على حافة الشارع.</w:t>
      </w:r>
    </w:p>
    <w:p>
      <w:pPr>
        <w:pStyle w:val="ListParagraph"/>
        <w:numPr>
          <w:ilvl w:val="0"/>
          <w:numId w:val="4"/>
        </w:numPr>
        <w:bidi/>
        <w:spacing w:after="40" w:before="40" w:line="320"/>
        <w:jc w:val="right"/>
      </w:pPr>
      <w:r>
        <w:rPr>
          <w:rFonts w:ascii="Arial" w:cs="Arial" w:eastAsia="Arial" w:hAnsi="Arial"/>
          <w:sz w:val="24"/>
          <w:szCs w:val="24"/>
          <w:rtl/>
        </w:rPr>
        <w:t xml:space="preserve">الطابع العائلي: جلسات عائلية مظلَّلة قريبة من الكافيه، نافورات شرب آمنة للأطفال، مساحات خضراء قابلة للجلوس، إنارة مريحة وغير حادّة.</w:t>
      </w:r>
    </w:p>
    <w:p>
      <w:pPr>
        <w:pStyle w:val="ListParagraph"/>
        <w:numPr>
          <w:ilvl w:val="0"/>
          <w:numId w:val="4"/>
        </w:numPr>
        <w:bidi/>
        <w:spacing w:after="40" w:before="40" w:line="320"/>
        <w:jc w:val="right"/>
      </w:pPr>
      <w:r>
        <w:rPr>
          <w:rFonts w:ascii="Arial" w:cs="Arial" w:eastAsia="Arial" w:hAnsi="Arial"/>
          <w:sz w:val="24"/>
          <w:szCs w:val="24"/>
          <w:rtl/>
        </w:rPr>
        <w:t xml:space="preserve">التوحيد البصري: استخدام نظام ألوان وعناصر تصميمية موحَّدة (لوحات، أرقام، علامات، صبغات) ضمن هوية بلدية واحدة قابلة للتعميم.</w:t>
      </w:r>
    </w:p>
    <w:p>
      <w:pPr>
        <w:pStyle w:val="Heading2"/>
        <w:bidi/>
        <w:spacing w:after="140" w:before="240"/>
        <w:jc w:val="right"/>
      </w:pPr>
      <w:r>
        <w:rPr>
          <w:rFonts w:ascii="Arial" w:cs="Arial" w:eastAsia="Arial" w:hAnsi="Arial"/>
          <w:b/>
          <w:bCs/>
          <w:color w:val="2E75B6"/>
          <w:sz w:val="30"/>
          <w:szCs w:val="30"/>
          <w:rtl/>
        </w:rPr>
        <w:t xml:space="preserve">4.2 العناصر التصميمية المميِّزة</w:t>
      </w:r>
    </w:p>
    <w:p>
      <w:pPr>
        <w:pStyle w:val="ListParagraph"/>
        <w:numPr>
          <w:ilvl w:val="0"/>
          <w:numId w:val="2"/>
        </w:numPr>
        <w:bidi/>
        <w:spacing w:after="40" w:before="40" w:line="320"/>
        <w:jc w:val="right"/>
      </w:pPr>
      <w:r>
        <w:rPr>
          <w:rFonts w:ascii="Arial" w:cs="Arial" w:eastAsia="Arial" w:hAnsi="Arial"/>
          <w:sz w:val="24"/>
          <w:szCs w:val="24"/>
          <w:rtl/>
        </w:rPr>
        <w:t xml:space="preserve">التشجير الديكوري المحيطي: شجيرات منخفضة وأشجار قصيرة الجذوع لا تحجب الرؤية، تُشكّل حداً طبيعياً للموقع.</w:t>
      </w:r>
    </w:p>
    <w:p>
      <w:pPr>
        <w:pStyle w:val="ListParagraph"/>
        <w:numPr>
          <w:ilvl w:val="0"/>
          <w:numId w:val="2"/>
        </w:numPr>
        <w:bidi/>
        <w:spacing w:after="40" w:before="40" w:line="320"/>
        <w:jc w:val="right"/>
      </w:pPr>
      <w:r>
        <w:rPr>
          <w:rFonts w:ascii="Arial" w:cs="Arial" w:eastAsia="Arial" w:hAnsi="Arial"/>
          <w:sz w:val="24"/>
          <w:szCs w:val="24"/>
          <w:rtl/>
        </w:rPr>
        <w:t xml:space="preserve">المظلات النسيجية الخفيفة: فوق الجلسات والممرات الرئيسية، تكسر شدّة الشمس صيفاً وتمنح ظلاً مريحاً.</w:t>
      </w:r>
    </w:p>
    <w:p>
      <w:pPr>
        <w:pStyle w:val="ListParagraph"/>
        <w:numPr>
          <w:ilvl w:val="0"/>
          <w:numId w:val="2"/>
        </w:numPr>
        <w:bidi/>
        <w:spacing w:after="40" w:before="40" w:line="320"/>
        <w:jc w:val="right"/>
      </w:pPr>
      <w:r>
        <w:rPr>
          <w:rFonts w:ascii="Arial" w:cs="Arial" w:eastAsia="Arial" w:hAnsi="Arial"/>
          <w:sz w:val="24"/>
          <w:szCs w:val="24"/>
          <w:rtl/>
        </w:rPr>
        <w:t xml:space="preserve">الجلسات العائلية المتنوعة: مقاعد ثنائية وعائلية ودائرية، موزَّعة بصورة لا تتعارض مع الحركة.</w:t>
      </w:r>
    </w:p>
    <w:p>
      <w:pPr>
        <w:pStyle w:val="ListParagraph"/>
        <w:numPr>
          <w:ilvl w:val="0"/>
          <w:numId w:val="2"/>
        </w:numPr>
        <w:bidi/>
        <w:spacing w:after="40" w:before="40" w:line="320"/>
        <w:jc w:val="right"/>
      </w:pPr>
      <w:r>
        <w:rPr>
          <w:rFonts w:ascii="Arial" w:cs="Arial" w:eastAsia="Arial" w:hAnsi="Arial"/>
          <w:sz w:val="24"/>
          <w:szCs w:val="24"/>
          <w:rtl/>
        </w:rPr>
        <w:t xml:space="preserve">الإنارة المتدرجة: إنارة قوية للملاعب، ومتوسطة للممرات، وخفيفة جمالية في المساحات الخضراء.</w:t>
      </w:r>
    </w:p>
    <w:p>
      <w:pPr>
        <w:pStyle w:val="ListParagraph"/>
        <w:numPr>
          <w:ilvl w:val="0"/>
          <w:numId w:val="2"/>
        </w:numPr>
        <w:bidi/>
        <w:spacing w:after="40" w:before="40" w:line="320"/>
        <w:jc w:val="right"/>
      </w:pPr>
      <w:r>
        <w:rPr>
          <w:rFonts w:ascii="Arial" w:cs="Arial" w:eastAsia="Arial" w:hAnsi="Arial"/>
          <w:sz w:val="24"/>
          <w:szCs w:val="24"/>
          <w:rtl/>
        </w:rPr>
        <w:t xml:space="preserve">الهوية البصرية الموحَّدة: لوحات إرشادية، تخطيطات أرضية، أرقام، شعار البلدية، بنفس النظام اللوني والخط.</w:t>
      </w:r>
    </w:p>
    <w:p>
      <w:pPr>
        <w:pStyle w:val="Heading2"/>
        <w:bidi/>
        <w:spacing w:after="140" w:before="240"/>
        <w:jc w:val="right"/>
      </w:pPr>
      <w:r>
        <w:rPr>
          <w:rFonts w:ascii="Arial" w:cs="Arial" w:eastAsia="Arial" w:hAnsi="Arial"/>
          <w:b/>
          <w:bCs/>
          <w:color w:val="2E75B6"/>
          <w:sz w:val="30"/>
          <w:szCs w:val="30"/>
          <w:rtl/>
        </w:rPr>
        <w:t xml:space="preserve">4.3 ما يميّز هذا المشروع عن المشاريع التجارية الخاصة</w:t>
      </w:r>
    </w:p>
    <w:p>
      <w:pPr>
        <w:bidi/>
        <w:spacing w:after="80" w:before="80" w:line="360"/>
        <w:jc w:val="both"/>
      </w:pPr>
      <w:r>
        <w:rPr>
          <w:rFonts w:ascii="Arial" w:cs="Arial" w:eastAsia="Arial" w:hAnsi="Arial"/>
          <w:b w:val="false"/>
          <w:bCs w:val="false"/>
          <w:color w:val="000000"/>
          <w:sz w:val="24"/>
          <w:szCs w:val="24"/>
          <w:rtl/>
        </w:rPr>
        <w:t xml:space="preserve">تتميز المشاريع البلدية المفتوحة بعدة فوارق جوهرية عن المشاريع التجارية الخاصة المسوَّرة، أبرزها: انعدام السياج الكامل، وتعدّد الخدمات (لا تقتصر على نشاط واحد)، وأسعار الدخول الرمزية أو المجانية للجزء العام، إضافة إلى الانتماء البصري لهوية البلدية بدلاً من الهوية التجارية الخاصة. وهذا يجعل المشروع ينافس على بعد اجتماعي وحضري، لا على بعد ربحي بحت، وهو ما يلائم طبيعة العمل البلدي.</w:t>
      </w:r>
    </w:p>
    <w:p>
      <w:pPr>
        <w:pStyle w:val="Heading1"/>
        <w:pageBreakBefore/>
        <w:bidi/>
        <w:spacing w:after="200" w:before="360"/>
        <w:jc w:val="right"/>
      </w:pPr>
      <w:r>
        <w:rPr>
          <w:rFonts w:ascii="Arial" w:cs="Arial" w:eastAsia="Arial" w:hAnsi="Arial"/>
          <w:b/>
          <w:bCs/>
          <w:color w:val="1F4E79"/>
          <w:sz w:val="36"/>
          <w:szCs w:val="36"/>
          <w:rtl/>
        </w:rPr>
        <w:t xml:space="preserve">5. الوصف العام للموقع وافتراضات الدراسة</w:t>
      </w:r>
    </w:p>
    <w:p>
      <w:pPr>
        <w:pStyle w:val="Heading2"/>
        <w:bidi/>
        <w:spacing w:after="140" w:before="240"/>
        <w:jc w:val="right"/>
      </w:pPr>
      <w:r>
        <w:rPr>
          <w:rFonts w:ascii="Arial" w:cs="Arial" w:eastAsia="Arial" w:hAnsi="Arial"/>
          <w:b/>
          <w:bCs/>
          <w:color w:val="2E75B6"/>
          <w:sz w:val="30"/>
          <w:szCs w:val="30"/>
          <w:rtl/>
        </w:rPr>
        <w:t xml:space="preserve">5.1 الافتراضات الأساسية</w:t>
      </w:r>
    </w:p>
    <w:p>
      <w:pPr>
        <w:bidi/>
        <w:spacing w:after="80" w:before="80" w:line="360"/>
        <w:jc w:val="both"/>
      </w:pPr>
      <w:r>
        <w:rPr>
          <w:rFonts w:ascii="Arial" w:cs="Arial" w:eastAsia="Arial" w:hAnsi="Arial"/>
          <w:b w:val="false"/>
          <w:bCs w:val="false"/>
          <w:color w:val="000000"/>
          <w:sz w:val="24"/>
          <w:szCs w:val="24"/>
          <w:rtl/>
        </w:rPr>
        <w:t xml:space="preserve">اعتمدت الدراسة على الافتراضات التالية، التي يمكن تعديلها لاحقاً عند تثبيت موقع التنفيذ النهائي:</w:t>
      </w:r>
    </w:p>
    <w:p>
      <w:pPr>
        <w:pStyle w:val="ListParagraph"/>
        <w:numPr>
          <w:ilvl w:val="0"/>
          <w:numId w:val="2"/>
        </w:numPr>
        <w:bidi/>
        <w:spacing w:after="40" w:before="40" w:line="320"/>
        <w:jc w:val="right"/>
      </w:pPr>
      <w:r>
        <w:rPr>
          <w:rFonts w:ascii="Arial" w:cs="Arial" w:eastAsia="Arial" w:hAnsi="Arial"/>
          <w:sz w:val="24"/>
          <w:szCs w:val="24"/>
          <w:rtl/>
        </w:rPr>
        <w:t xml:space="preserve">الأرض من ممتلكات مديرية بلدية البصرة، ولا تحتسب ضمنها قيمة الشراء أو الاستملاك.</w:t>
      </w:r>
    </w:p>
    <w:p>
      <w:pPr>
        <w:pStyle w:val="ListParagraph"/>
        <w:numPr>
          <w:ilvl w:val="0"/>
          <w:numId w:val="2"/>
        </w:numPr>
        <w:bidi/>
        <w:spacing w:after="40" w:before="40" w:line="320"/>
        <w:jc w:val="right"/>
      </w:pPr>
      <w:r>
        <w:rPr>
          <w:rFonts w:ascii="Arial" w:cs="Arial" w:eastAsia="Arial" w:hAnsi="Arial"/>
          <w:sz w:val="24"/>
          <w:szCs w:val="24"/>
          <w:rtl/>
        </w:rPr>
        <w:t xml:space="preserve">الموقع يقع على شارع رئيسي أو فرعي صالح للوصول، يسمح بإقامة مواقف مائلة على حافة الشارع ضمن حرم البلدية.</w:t>
      </w:r>
    </w:p>
    <w:p>
      <w:pPr>
        <w:pStyle w:val="ListParagraph"/>
        <w:numPr>
          <w:ilvl w:val="0"/>
          <w:numId w:val="2"/>
        </w:numPr>
        <w:bidi/>
        <w:spacing w:after="40" w:before="40" w:line="320"/>
        <w:jc w:val="right"/>
      </w:pPr>
      <w:r>
        <w:rPr>
          <w:rFonts w:ascii="Arial" w:cs="Arial" w:eastAsia="Arial" w:hAnsi="Arial"/>
          <w:sz w:val="24"/>
          <w:szCs w:val="24"/>
          <w:rtl/>
        </w:rPr>
        <w:t xml:space="preserve">الخدمات الأساسية (الكهرباء، الماء، الصرف) متوفرة على بُعد مقبول لا يستلزم أعمال بنية تحتية ضخمة.</w:t>
      </w:r>
    </w:p>
    <w:p>
      <w:pPr>
        <w:pStyle w:val="ListParagraph"/>
        <w:numPr>
          <w:ilvl w:val="0"/>
          <w:numId w:val="2"/>
        </w:numPr>
        <w:bidi/>
        <w:spacing w:after="40" w:before="40" w:line="320"/>
        <w:jc w:val="right"/>
      </w:pPr>
      <w:r>
        <w:rPr>
          <w:rFonts w:ascii="Arial" w:cs="Arial" w:eastAsia="Arial" w:hAnsi="Arial"/>
          <w:sz w:val="24"/>
          <w:szCs w:val="24"/>
          <w:rtl/>
        </w:rPr>
        <w:t xml:space="preserve">الموقع شبه مستوي ولا يحتاج إلى أعمال تسوية كبيرة (تم احتساب أعمال تسوية محدودة ضمن البنود).</w:t>
      </w:r>
    </w:p>
    <w:p>
      <w:pPr>
        <w:pStyle w:val="ListParagraph"/>
        <w:numPr>
          <w:ilvl w:val="0"/>
          <w:numId w:val="2"/>
        </w:numPr>
        <w:bidi/>
        <w:spacing w:after="40" w:before="40" w:line="320"/>
        <w:jc w:val="right"/>
      </w:pPr>
      <w:r>
        <w:rPr>
          <w:rFonts w:ascii="Arial" w:cs="Arial" w:eastAsia="Arial" w:hAnsi="Arial"/>
          <w:sz w:val="24"/>
          <w:szCs w:val="24"/>
          <w:rtl/>
        </w:rPr>
        <w:t xml:space="preserve">لا توجد عوائق قانونية أو ملكية على قطعة الأرض المقترحة (تتم مصادقة هذا البند عند اختيار الموقع).</w:t>
      </w:r>
    </w:p>
    <w:p>
      <w:pPr>
        <w:pStyle w:val="Heading2"/>
        <w:bidi/>
        <w:spacing w:after="140" w:before="240"/>
        <w:jc w:val="right"/>
      </w:pPr>
      <w:r>
        <w:rPr>
          <w:rFonts w:ascii="Arial" w:cs="Arial" w:eastAsia="Arial" w:hAnsi="Arial"/>
          <w:b/>
          <w:bCs/>
          <w:color w:val="2E75B6"/>
          <w:sz w:val="30"/>
          <w:szCs w:val="30"/>
          <w:rtl/>
        </w:rPr>
        <w:t xml:space="preserve">5.2 توزيع المساحة المقترح – الخيار الأول (500 م²)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3160"/>
        <w:gridCol w:w="2560"/>
      </w:tblGrid>
      <w:tr>
        <w:trPr>
          <w:tblHeader/>
        </w:trPr>
        <w:tc>
          <w:tcPr>
            <w:tcW w:type="dxa" w:w="36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العنصر</w:t>
            </w:r>
          </w:p>
        </w:tc>
        <w:tc>
          <w:tcPr>
            <w:tcW w:type="dxa" w:w="316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المساحة التقريبية</w:t>
            </w:r>
          </w:p>
        </w:tc>
        <w:tc>
          <w:tcPr>
            <w:tcW w:type="dxa" w:w="256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النسبة</w:t>
            </w:r>
          </w:p>
        </w:tc>
      </w:tr>
      <w:tr>
        <w:tc>
          <w:tcPr>
            <w:tcW w:type="dxa" w:w="3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ملعب البادل (شامل المحيط الفعلي)</w:t>
            </w:r>
          </w:p>
        </w:tc>
        <w:tc>
          <w:tcPr>
            <w:tcW w:type="dxa" w:w="31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240 – 260 م²</w:t>
            </w:r>
          </w:p>
        </w:tc>
        <w:tc>
          <w:tcPr>
            <w:tcW w:type="dxa" w:w="25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50%</w:t>
            </w:r>
          </w:p>
        </w:tc>
      </w:tr>
      <w:tr>
        <w:tc>
          <w:tcPr>
            <w:tcW w:type="dxa" w:w="36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البولينغ الترفيهي المصغّر</w:t>
            </w:r>
          </w:p>
        </w:tc>
        <w:tc>
          <w:tcPr>
            <w:tcW w:type="dxa" w:w="31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30 – 50 م²</w:t>
            </w:r>
          </w:p>
        </w:tc>
        <w:tc>
          <w:tcPr>
            <w:tcW w:type="dxa" w:w="25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8%</w:t>
            </w:r>
          </w:p>
        </w:tc>
      </w:tr>
      <w:tr>
        <w:tc>
          <w:tcPr>
            <w:tcW w:type="dxa" w:w="3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الكافيه + الجلسات</w:t>
            </w:r>
          </w:p>
        </w:tc>
        <w:tc>
          <w:tcPr>
            <w:tcW w:type="dxa" w:w="31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60 – 80 م²</w:t>
            </w:r>
          </w:p>
        </w:tc>
        <w:tc>
          <w:tcPr>
            <w:tcW w:type="dxa" w:w="25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14%</w:t>
            </w:r>
          </w:p>
        </w:tc>
      </w:tr>
      <w:tr>
        <w:tc>
          <w:tcPr>
            <w:tcW w:type="dxa" w:w="36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الصحيات</w:t>
            </w:r>
          </w:p>
        </w:tc>
        <w:tc>
          <w:tcPr>
            <w:tcW w:type="dxa" w:w="31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10 – 15 م²</w:t>
            </w:r>
          </w:p>
        </w:tc>
        <w:tc>
          <w:tcPr>
            <w:tcW w:type="dxa" w:w="25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3%</w:t>
            </w:r>
          </w:p>
        </w:tc>
      </w:tr>
      <w:tr>
        <w:tc>
          <w:tcPr>
            <w:tcW w:type="dxa" w:w="3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الممرات والمسطّحات</w:t>
            </w:r>
          </w:p>
        </w:tc>
        <w:tc>
          <w:tcPr>
            <w:tcW w:type="dxa" w:w="31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60 – 80 م²</w:t>
            </w:r>
          </w:p>
        </w:tc>
        <w:tc>
          <w:tcPr>
            <w:tcW w:type="dxa" w:w="25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14%</w:t>
            </w:r>
          </w:p>
        </w:tc>
      </w:tr>
      <w:tr>
        <w:tc>
          <w:tcPr>
            <w:tcW w:type="dxa" w:w="36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التشجير والمساحات الخضراء</w:t>
            </w:r>
          </w:p>
        </w:tc>
        <w:tc>
          <w:tcPr>
            <w:tcW w:type="dxa" w:w="31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40 – 60 م²</w:t>
            </w:r>
          </w:p>
        </w:tc>
        <w:tc>
          <w:tcPr>
            <w:tcW w:type="dxa" w:w="25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10%</w:t>
            </w:r>
          </w:p>
        </w:tc>
      </w:tr>
      <w:tr>
        <w:tc>
          <w:tcPr>
            <w:tcW w:type="dxa" w:w="3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النافورة + مواقف الدراجات</w:t>
            </w:r>
          </w:p>
        </w:tc>
        <w:tc>
          <w:tcPr>
            <w:tcW w:type="dxa" w:w="31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5 – 10 م²</w:t>
            </w:r>
          </w:p>
        </w:tc>
        <w:tc>
          <w:tcPr>
            <w:tcW w:type="dxa" w:w="25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1%</w:t>
            </w:r>
          </w:p>
        </w:tc>
      </w:tr>
      <w:tr>
        <w:tc>
          <w:tcPr>
            <w:tcW w:type="dxa" w:w="364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right"/>
            </w:pPr>
            <w:r>
              <w:rPr>
                <w:rFonts w:ascii="Arial" w:cs="Arial" w:eastAsia="Arial" w:hAnsi="Arial"/>
                <w:b/>
                <w:bCs/>
                <w:color w:val="000000"/>
                <w:sz w:val="22"/>
                <w:szCs w:val="22"/>
                <w:rtl/>
              </w:rPr>
              <w:t xml:space="preserve">الإجمالي التقريبي</w:t>
            </w:r>
          </w:p>
        </w:tc>
        <w:tc>
          <w:tcPr>
            <w:tcW w:type="dxa" w:w="316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500 م²</w:t>
            </w:r>
          </w:p>
        </w:tc>
        <w:tc>
          <w:tcPr>
            <w:tcW w:type="dxa" w:w="256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100%</w:t>
            </w:r>
          </w:p>
        </w:tc>
      </w:tr>
    </w:tbl>
    <w:p>
      <w:pPr>
        <w:spacing w:after="200" w:before="200"/>
      </w:pPr>
    </w:p>
    <w:p>
      <w:pPr>
        <w:pStyle w:val="Heading2"/>
        <w:bidi/>
        <w:spacing w:after="140" w:before="240"/>
        <w:jc w:val="right"/>
      </w:pPr>
      <w:r>
        <w:rPr>
          <w:rFonts w:ascii="Arial" w:cs="Arial" w:eastAsia="Arial" w:hAnsi="Arial"/>
          <w:b/>
          <w:bCs/>
          <w:color w:val="2E75B6"/>
          <w:sz w:val="30"/>
          <w:szCs w:val="30"/>
          <w:rtl/>
        </w:rPr>
        <w:t xml:space="preserve">5.3 توزيع المساحة المقترح – الخيار الثاني (1000 م²)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3160"/>
        <w:gridCol w:w="2560"/>
      </w:tblGrid>
      <w:tr>
        <w:trPr>
          <w:tblHeader/>
        </w:trPr>
        <w:tc>
          <w:tcPr>
            <w:tcW w:type="dxa" w:w="36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العنصر</w:t>
            </w:r>
          </w:p>
        </w:tc>
        <w:tc>
          <w:tcPr>
            <w:tcW w:type="dxa" w:w="316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المساحة التقريبية</w:t>
            </w:r>
          </w:p>
        </w:tc>
        <w:tc>
          <w:tcPr>
            <w:tcW w:type="dxa" w:w="256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النسبة</w:t>
            </w:r>
          </w:p>
        </w:tc>
      </w:tr>
      <w:tr>
        <w:tc>
          <w:tcPr>
            <w:tcW w:type="dxa" w:w="3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ملعبا البادل (مع المحيط)</w:t>
            </w:r>
          </w:p>
        </w:tc>
        <w:tc>
          <w:tcPr>
            <w:tcW w:type="dxa" w:w="31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440 – 480 م²</w:t>
            </w:r>
          </w:p>
        </w:tc>
        <w:tc>
          <w:tcPr>
            <w:tcW w:type="dxa" w:w="25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46%</w:t>
            </w:r>
          </w:p>
        </w:tc>
      </w:tr>
      <w:tr>
        <w:tc>
          <w:tcPr>
            <w:tcW w:type="dxa" w:w="36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البولينغ Compact (3 مسارات)</w:t>
            </w:r>
          </w:p>
        </w:tc>
        <w:tc>
          <w:tcPr>
            <w:tcW w:type="dxa" w:w="31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100 – 130 م²</w:t>
            </w:r>
          </w:p>
        </w:tc>
        <w:tc>
          <w:tcPr>
            <w:tcW w:type="dxa" w:w="25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12%</w:t>
            </w:r>
          </w:p>
        </w:tc>
      </w:tr>
      <w:tr>
        <w:tc>
          <w:tcPr>
            <w:tcW w:type="dxa" w:w="3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الكافيه + المطعم + جلسات</w:t>
            </w:r>
          </w:p>
        </w:tc>
        <w:tc>
          <w:tcPr>
            <w:tcW w:type="dxa" w:w="31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120 – 160 م²</w:t>
            </w:r>
          </w:p>
        </w:tc>
        <w:tc>
          <w:tcPr>
            <w:tcW w:type="dxa" w:w="25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14%</w:t>
            </w:r>
          </w:p>
        </w:tc>
      </w:tr>
      <w:tr>
        <w:tc>
          <w:tcPr>
            <w:tcW w:type="dxa" w:w="36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الصحيات + غرف التبديل واللوكرات</w:t>
            </w:r>
          </w:p>
        </w:tc>
        <w:tc>
          <w:tcPr>
            <w:tcW w:type="dxa" w:w="31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30 – 45 م²</w:t>
            </w:r>
          </w:p>
        </w:tc>
        <w:tc>
          <w:tcPr>
            <w:tcW w:type="dxa" w:w="25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4%</w:t>
            </w:r>
          </w:p>
        </w:tc>
      </w:tr>
      <w:tr>
        <w:tc>
          <w:tcPr>
            <w:tcW w:type="dxa" w:w="3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مسار الجري المحيطي</w:t>
            </w:r>
          </w:p>
        </w:tc>
        <w:tc>
          <w:tcPr>
            <w:tcW w:type="dxa" w:w="31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60 – 90 م² (مسار رفيع)</w:t>
            </w:r>
          </w:p>
        </w:tc>
        <w:tc>
          <w:tcPr>
            <w:tcW w:type="dxa" w:w="25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8%</w:t>
            </w:r>
          </w:p>
        </w:tc>
      </w:tr>
      <w:tr>
        <w:tc>
          <w:tcPr>
            <w:tcW w:type="dxa" w:w="36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الممرات والمسطّحات</w:t>
            </w:r>
          </w:p>
        </w:tc>
        <w:tc>
          <w:tcPr>
            <w:tcW w:type="dxa" w:w="31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80 – 110 م²</w:t>
            </w:r>
          </w:p>
        </w:tc>
        <w:tc>
          <w:tcPr>
            <w:tcW w:type="dxa" w:w="25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9%</w:t>
            </w:r>
          </w:p>
        </w:tc>
      </w:tr>
      <w:tr>
        <w:tc>
          <w:tcPr>
            <w:tcW w:type="dxa" w:w="3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التشجير والمساحات الخضراء</w:t>
            </w:r>
          </w:p>
        </w:tc>
        <w:tc>
          <w:tcPr>
            <w:tcW w:type="dxa" w:w="31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60 – 90 م²</w:t>
            </w:r>
          </w:p>
        </w:tc>
        <w:tc>
          <w:tcPr>
            <w:tcW w:type="dxa" w:w="25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7%</w:t>
            </w:r>
          </w:p>
        </w:tc>
      </w:tr>
      <w:tr>
        <w:tc>
          <w:tcPr>
            <w:tcW w:type="dxa" w:w="36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نافورات الشرب + مواقف الدراجات</w:t>
            </w:r>
          </w:p>
        </w:tc>
        <w:tc>
          <w:tcPr>
            <w:tcW w:type="dxa" w:w="31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10 – 15 م²</w:t>
            </w:r>
          </w:p>
        </w:tc>
        <w:tc>
          <w:tcPr>
            <w:tcW w:type="dxa" w:w="25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1%</w:t>
            </w:r>
          </w:p>
        </w:tc>
      </w:tr>
      <w:tr>
        <w:tc>
          <w:tcPr>
            <w:tcW w:type="dxa" w:w="364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right"/>
            </w:pPr>
            <w:r>
              <w:rPr>
                <w:rFonts w:ascii="Arial" w:cs="Arial" w:eastAsia="Arial" w:hAnsi="Arial"/>
                <w:b/>
                <w:bCs/>
                <w:color w:val="000000"/>
                <w:sz w:val="22"/>
                <w:szCs w:val="22"/>
                <w:rtl/>
              </w:rPr>
              <w:t xml:space="preserve">الإجمالي التقريبي</w:t>
            </w:r>
          </w:p>
        </w:tc>
        <w:tc>
          <w:tcPr>
            <w:tcW w:type="dxa" w:w="316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1000 م²</w:t>
            </w:r>
          </w:p>
        </w:tc>
        <w:tc>
          <w:tcPr>
            <w:tcW w:type="dxa" w:w="256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100%</w:t>
            </w:r>
          </w:p>
        </w:tc>
      </w:tr>
    </w:tbl>
    <w:p>
      <w:pPr>
        <w:spacing w:after="200" w:before="200"/>
      </w:pPr>
    </w:p>
    <w:p>
      <w:pPr>
        <w:bidi/>
        <w:spacing w:after="80" w:before="80" w:line="360"/>
        <w:jc w:val="both"/>
      </w:pPr>
      <w:r>
        <w:rPr>
          <w:rFonts w:ascii="Arial" w:cs="Arial" w:eastAsia="Arial" w:hAnsi="Arial"/>
          <w:b w:val="false"/>
          <w:bCs w:val="false"/>
          <w:color w:val="000000"/>
          <w:sz w:val="24"/>
          <w:szCs w:val="24"/>
          <w:rtl/>
        </w:rPr>
        <w:t xml:space="preserve">ملاحظة: مواقف السيارات المائلة لا تُحسب من ضمن مساحة المشروع الداخلية، بل تُقام على حافة الشارع المحاذي ضمن حرم البلدية، مما يحرّر مساحة المشروع للاستخدامات الترفيهية والخدمية بالكامل.</w:t>
      </w:r>
    </w:p>
    <w:p>
      <w:pPr>
        <w:pStyle w:val="Heading1"/>
        <w:pageBreakBefore/>
        <w:bidi/>
        <w:spacing w:after="200" w:before="360"/>
        <w:jc w:val="right"/>
      </w:pPr>
      <w:r>
        <w:rPr>
          <w:rFonts w:ascii="Arial" w:cs="Arial" w:eastAsia="Arial" w:hAnsi="Arial"/>
          <w:b/>
          <w:bCs/>
          <w:color w:val="1F4E79"/>
          <w:sz w:val="36"/>
          <w:szCs w:val="36"/>
          <w:rtl/>
        </w:rPr>
        <w:t xml:space="preserve">6. الخيار الأول: مساحة 500 م² – المكونات والمواصفات</w:t>
      </w:r>
    </w:p>
    <w:p>
      <w:pPr>
        <w:pStyle w:val="Heading2"/>
        <w:bidi/>
        <w:spacing w:after="140" w:before="240"/>
        <w:jc w:val="right"/>
      </w:pPr>
      <w:r>
        <w:rPr>
          <w:rFonts w:ascii="Arial" w:cs="Arial" w:eastAsia="Arial" w:hAnsi="Arial"/>
          <w:b/>
          <w:bCs/>
          <w:color w:val="2E75B6"/>
          <w:sz w:val="30"/>
          <w:szCs w:val="30"/>
          <w:rtl/>
        </w:rPr>
        <w:t xml:space="preserve">6.1 الوصف العام</w:t>
      </w:r>
    </w:p>
    <w:p>
      <w:pPr>
        <w:bidi/>
        <w:spacing w:after="80" w:before="80" w:line="360"/>
        <w:jc w:val="both"/>
      </w:pPr>
      <w:r>
        <w:rPr>
          <w:rFonts w:ascii="Arial" w:cs="Arial" w:eastAsia="Arial" w:hAnsi="Arial"/>
          <w:b w:val="false"/>
          <w:bCs w:val="false"/>
          <w:color w:val="000000"/>
          <w:sz w:val="24"/>
          <w:szCs w:val="24"/>
          <w:rtl/>
        </w:rPr>
        <w:t xml:space="preserve">يُقدَّم هذا الخيار كنسخة عائلية رياضية مدمجة مناسبة للمواقع المتوسطة، يمنح الحد الأدنى الجيد من العناصر الترفيهية والعائلية ضمن مساحة محدودة، مع إمكانية التوسعة لاحقاً عند توفّر مساحة أو ميزانية إضافية.</w:t>
      </w:r>
    </w:p>
    <w:p>
      <w:pPr>
        <w:pStyle w:val="Heading2"/>
        <w:bidi/>
        <w:spacing w:after="140" w:before="240"/>
        <w:jc w:val="right"/>
      </w:pPr>
      <w:r>
        <w:rPr>
          <w:rFonts w:ascii="Arial" w:cs="Arial" w:eastAsia="Arial" w:hAnsi="Arial"/>
          <w:b/>
          <w:bCs/>
          <w:color w:val="2E75B6"/>
          <w:sz w:val="30"/>
          <w:szCs w:val="30"/>
          <w:rtl/>
        </w:rPr>
        <w:t xml:space="preserve">6.2 المكونات الرئيسية</w:t>
      </w:r>
    </w:p>
    <w:p>
      <w:pPr>
        <w:pStyle w:val="Heading3"/>
        <w:bidi/>
        <w:spacing w:after="100" w:before="180"/>
        <w:jc w:val="right"/>
      </w:pPr>
      <w:r>
        <w:rPr>
          <w:rFonts w:ascii="Arial" w:cs="Arial" w:eastAsia="Arial" w:hAnsi="Arial"/>
          <w:b/>
          <w:bCs/>
          <w:color w:val="1F4E79"/>
          <w:sz w:val="26"/>
          <w:szCs w:val="26"/>
          <w:rtl/>
        </w:rPr>
        <w:t xml:space="preserve">6.2.1 ملعب بادل واحد</w:t>
      </w:r>
    </w:p>
    <w:p>
      <w:pPr>
        <w:bidi/>
        <w:spacing w:after="80" w:before="80" w:line="360"/>
        <w:jc w:val="both"/>
      </w:pPr>
      <w:r>
        <w:rPr>
          <w:rFonts w:ascii="Arial" w:cs="Arial" w:eastAsia="Arial" w:hAnsi="Arial"/>
          <w:b w:val="false"/>
          <w:bCs w:val="false"/>
          <w:color w:val="000000"/>
          <w:sz w:val="24"/>
          <w:szCs w:val="24"/>
          <w:rtl/>
        </w:rPr>
        <w:t xml:space="preserve">ملعب بادل خارجي قياسي (20م × 10م = 200 م² صافي + هامش حركة وخدمات)، مفتوح بدون سقف كامل، يشمل: أرضية خرسانية + طبقات أساس، عشب صناعي رياضي + رمل سيليكا، هيكل معدني + زجاج مقسى 10 ملم بأبواب قياسية، إنارة LED بشدة مناسبة، شبكة وإكسسوارات قياسية، نظام تصريف أرضي بسيط، تبليط محيطي بسيط، ومقاعد جانبية للحجز.</w:t>
      </w:r>
    </w:p>
    <w:p>
      <w:pPr>
        <w:pStyle w:val="Heading3"/>
        <w:bidi/>
        <w:spacing w:after="100" w:before="180"/>
        <w:jc w:val="right"/>
      </w:pPr>
      <w:r>
        <w:rPr>
          <w:rFonts w:ascii="Arial" w:cs="Arial" w:eastAsia="Arial" w:hAnsi="Arial"/>
          <w:b/>
          <w:bCs/>
          <w:color w:val="1F4E79"/>
          <w:sz w:val="26"/>
          <w:szCs w:val="26"/>
          <w:rtl/>
        </w:rPr>
        <w:t xml:space="preserve">6.2.2 بولينغ ترفيهي مصغّر (1 – 2 مسار)</w:t>
      </w:r>
    </w:p>
    <w:p>
      <w:pPr>
        <w:bidi/>
        <w:spacing w:after="80" w:before="80" w:line="360"/>
        <w:jc w:val="both"/>
      </w:pPr>
      <w:r>
        <w:rPr>
          <w:rFonts w:ascii="Arial" w:cs="Arial" w:eastAsia="Arial" w:hAnsi="Arial"/>
          <w:b w:val="false"/>
          <w:bCs w:val="false"/>
          <w:color w:val="000000"/>
          <w:sz w:val="24"/>
          <w:szCs w:val="24"/>
          <w:rtl/>
        </w:rPr>
        <w:t xml:space="preserve">بدلاً من البولينغ القياسي الذي يستلزم طولاً كبيراً (≈ 18.29م)، نعتمد نسخة ترفيهية مصغَّرة بطول مخفَّض، صالحة للأطفال والعوائل، يُغطّى مكانها بمسقف خفيف. تشمل الوحدة: مسارَين قصيرَين، نظام scoring يدوي أو بسيط، إكسسوارات اللعبة، وإنارة مناسبة.</w:t>
      </w:r>
    </w:p>
    <w:p>
      <w:pPr>
        <w:pStyle w:val="Heading3"/>
        <w:bidi/>
        <w:spacing w:after="100" w:before="180"/>
        <w:jc w:val="right"/>
      </w:pPr>
      <w:r>
        <w:rPr>
          <w:rFonts w:ascii="Arial" w:cs="Arial" w:eastAsia="Arial" w:hAnsi="Arial"/>
          <w:b/>
          <w:bCs/>
          <w:color w:val="1F4E79"/>
          <w:sz w:val="26"/>
          <w:szCs w:val="26"/>
          <w:rtl/>
        </w:rPr>
        <w:t xml:space="preserve">6.2.3 كافيه صغير + جلسات</w:t>
      </w:r>
    </w:p>
    <w:p>
      <w:pPr>
        <w:bidi/>
        <w:spacing w:after="80" w:before="80" w:line="360"/>
        <w:jc w:val="both"/>
      </w:pPr>
      <w:r>
        <w:rPr>
          <w:rFonts w:ascii="Arial" w:cs="Arial" w:eastAsia="Arial" w:hAnsi="Arial"/>
          <w:b w:val="false"/>
          <w:bCs w:val="false"/>
          <w:color w:val="000000"/>
          <w:sz w:val="24"/>
          <w:szCs w:val="24"/>
          <w:rtl/>
        </w:rPr>
        <w:t xml:space="preserve">بناء بسيط بمساحة 25 – 35 م² لتجهيز المشروبات والوجبات الخفيفة، مع 60 – 80 م² جلسات مظلَّلة ملاصقة. يشمل: تركيب الواجهة، عداد، نقاط كهرباء وماء، تجهيزات تبريد بسيطة، وأثاث جلوس.</w:t>
      </w:r>
    </w:p>
    <w:p>
      <w:pPr>
        <w:pStyle w:val="Heading3"/>
        <w:bidi/>
        <w:spacing w:after="100" w:before="180"/>
        <w:jc w:val="right"/>
      </w:pPr>
      <w:r>
        <w:rPr>
          <w:rFonts w:ascii="Arial" w:cs="Arial" w:eastAsia="Arial" w:hAnsi="Arial"/>
          <w:b/>
          <w:bCs/>
          <w:color w:val="1F4E79"/>
          <w:sz w:val="26"/>
          <w:szCs w:val="26"/>
          <w:rtl/>
        </w:rPr>
        <w:t xml:space="preserve">6.2.4 صحيات بسيطة</w:t>
      </w:r>
    </w:p>
    <w:p>
      <w:pPr>
        <w:bidi/>
        <w:spacing w:after="80" w:before="80" w:line="360"/>
        <w:jc w:val="both"/>
      </w:pPr>
      <w:r>
        <w:rPr>
          <w:rFonts w:ascii="Arial" w:cs="Arial" w:eastAsia="Arial" w:hAnsi="Arial"/>
          <w:b w:val="false"/>
          <w:bCs w:val="false"/>
          <w:color w:val="000000"/>
          <w:sz w:val="24"/>
          <w:szCs w:val="24"/>
          <w:rtl/>
        </w:rPr>
        <w:t xml:space="preserve">صحيات أساسية للجنسين، بمساحة 10 – 15 م² (3 – 4 وحدات صحية)، مع نقطة وضوء، وتجهيزات بسيطة، وأرضية خزفية، وأبواب جيدة، وتهوية.</w:t>
      </w:r>
    </w:p>
    <w:p>
      <w:pPr>
        <w:pStyle w:val="Heading3"/>
        <w:bidi/>
        <w:spacing w:after="100" w:before="180"/>
        <w:jc w:val="right"/>
      </w:pPr>
      <w:r>
        <w:rPr>
          <w:rFonts w:ascii="Arial" w:cs="Arial" w:eastAsia="Arial" w:hAnsi="Arial"/>
          <w:b/>
          <w:bCs/>
          <w:color w:val="1F4E79"/>
          <w:sz w:val="26"/>
          <w:szCs w:val="26"/>
          <w:rtl/>
        </w:rPr>
        <w:t xml:space="preserve">6.2.5 الممرات والباركنك المائل والأرضيات</w:t>
      </w:r>
    </w:p>
    <w:p>
      <w:pPr>
        <w:bidi/>
        <w:spacing w:after="80" w:before="80" w:line="360"/>
        <w:jc w:val="both"/>
      </w:pPr>
      <w:r>
        <w:rPr>
          <w:rFonts w:ascii="Arial" w:cs="Arial" w:eastAsia="Arial" w:hAnsi="Arial"/>
          <w:b w:val="false"/>
          <w:bCs w:val="false"/>
          <w:color w:val="000000"/>
          <w:sz w:val="24"/>
          <w:szCs w:val="24"/>
          <w:rtl/>
        </w:rPr>
        <w:t xml:space="preserve">ممرات داخلية للمشاة، تبليط أرضي مرتب، باركنك مائل على حافة الشارع المحاذي (إن أمكن)، علامات أرضية، ومنصات صغيرة عند المداخل.</w:t>
      </w:r>
    </w:p>
    <w:p>
      <w:pPr>
        <w:pStyle w:val="Heading3"/>
        <w:bidi/>
        <w:spacing w:after="100" w:before="180"/>
        <w:jc w:val="right"/>
      </w:pPr>
      <w:r>
        <w:rPr>
          <w:rFonts w:ascii="Arial" w:cs="Arial" w:eastAsia="Arial" w:hAnsi="Arial"/>
          <w:b/>
          <w:bCs/>
          <w:color w:val="1F4E79"/>
          <w:sz w:val="26"/>
          <w:szCs w:val="26"/>
          <w:rtl/>
        </w:rPr>
        <w:t xml:space="preserve">6.2.6 المسقفات والجلسات العائلية</w:t>
      </w:r>
    </w:p>
    <w:p>
      <w:pPr>
        <w:bidi/>
        <w:spacing w:after="80" w:before="80" w:line="360"/>
        <w:jc w:val="both"/>
      </w:pPr>
      <w:r>
        <w:rPr>
          <w:rFonts w:ascii="Arial" w:cs="Arial" w:eastAsia="Arial" w:hAnsi="Arial"/>
          <w:b w:val="false"/>
          <w:bCs w:val="false"/>
          <w:color w:val="000000"/>
          <w:sz w:val="24"/>
          <w:szCs w:val="24"/>
          <w:rtl/>
        </w:rPr>
        <w:t xml:space="preserve">مظلات نسيجية أو معدنية خفيفة فوق الجلسات الرئيسية والممرات الحساسة، تكسر حرارة الشمس مع الحفاظ على التهوية. يُفضَّل اعتماد قواطع نسيجية (Sails) قابلة للصيانة الموسمية.</w:t>
      </w:r>
    </w:p>
    <w:p>
      <w:pPr>
        <w:pStyle w:val="Heading3"/>
        <w:bidi/>
        <w:spacing w:after="100" w:before="180"/>
        <w:jc w:val="right"/>
      </w:pPr>
      <w:r>
        <w:rPr>
          <w:rFonts w:ascii="Arial" w:cs="Arial" w:eastAsia="Arial" w:hAnsi="Arial"/>
          <w:b/>
          <w:bCs/>
          <w:color w:val="1F4E79"/>
          <w:sz w:val="26"/>
          <w:szCs w:val="26"/>
          <w:rtl/>
        </w:rPr>
        <w:t xml:space="preserve">6.2.7 التشجير الديكوري + الري البسيط</w:t>
      </w:r>
    </w:p>
    <w:p>
      <w:pPr>
        <w:bidi/>
        <w:spacing w:after="80" w:before="80" w:line="360"/>
        <w:jc w:val="both"/>
      </w:pPr>
      <w:r>
        <w:rPr>
          <w:rFonts w:ascii="Arial" w:cs="Arial" w:eastAsia="Arial" w:hAnsi="Arial"/>
          <w:b w:val="false"/>
          <w:bCs w:val="false"/>
          <w:color w:val="000000"/>
          <w:sz w:val="24"/>
          <w:szCs w:val="24"/>
          <w:rtl/>
        </w:rPr>
        <w:t xml:space="preserve">شجيرات منخفضة وأشجار قصيرة محيطية لا تحجب الرؤية، شبكة ري بالتنقيط بسيطة، تربة زراعية مهيأة، وعناصر زراعية موسمية.</w:t>
      </w:r>
    </w:p>
    <w:p>
      <w:pPr>
        <w:pStyle w:val="Heading3"/>
        <w:bidi/>
        <w:spacing w:after="100" w:before="180"/>
        <w:jc w:val="right"/>
      </w:pPr>
      <w:r>
        <w:rPr>
          <w:rFonts w:ascii="Arial" w:cs="Arial" w:eastAsia="Arial" w:hAnsi="Arial"/>
          <w:b/>
          <w:bCs/>
          <w:color w:val="1F4E79"/>
          <w:sz w:val="26"/>
          <w:szCs w:val="26"/>
          <w:rtl/>
        </w:rPr>
        <w:t xml:space="preserve">6.2.8 الإنارة العامة + الكاميرات البسيطة</w:t>
      </w:r>
    </w:p>
    <w:p>
      <w:pPr>
        <w:bidi/>
        <w:spacing w:after="80" w:before="80" w:line="360"/>
        <w:jc w:val="both"/>
      </w:pPr>
      <w:r>
        <w:rPr>
          <w:rFonts w:ascii="Arial" w:cs="Arial" w:eastAsia="Arial" w:hAnsi="Arial"/>
          <w:b w:val="false"/>
          <w:bCs w:val="false"/>
          <w:color w:val="000000"/>
          <w:sz w:val="24"/>
          <w:szCs w:val="24"/>
          <w:rtl/>
        </w:rPr>
        <w:t xml:space="preserve">إنارة LED للممرات والمحيط، إنارة قوية لملعب البادل، 2 – 4 كاميرات مراقبة بسيطة عند المداخل والصحيات، مع لوحة كهربائية مرتبة.</w:t>
      </w:r>
    </w:p>
    <w:p>
      <w:pPr>
        <w:pStyle w:val="Heading3"/>
        <w:bidi/>
        <w:spacing w:after="100" w:before="180"/>
        <w:jc w:val="right"/>
      </w:pPr>
      <w:r>
        <w:rPr>
          <w:rFonts w:ascii="Arial" w:cs="Arial" w:eastAsia="Arial" w:hAnsi="Arial"/>
          <w:b/>
          <w:bCs/>
          <w:color w:val="1F4E79"/>
          <w:sz w:val="26"/>
          <w:szCs w:val="26"/>
          <w:rtl/>
        </w:rPr>
        <w:t xml:space="preserve">6.2.9 نافورة الشرب + مواقف الدراجات</w:t>
      </w:r>
    </w:p>
    <w:p>
      <w:pPr>
        <w:bidi/>
        <w:spacing w:after="80" w:before="80" w:line="360"/>
        <w:jc w:val="both"/>
      </w:pPr>
      <w:r>
        <w:rPr>
          <w:rFonts w:ascii="Arial" w:cs="Arial" w:eastAsia="Arial" w:hAnsi="Arial"/>
          <w:b w:val="false"/>
          <w:bCs w:val="false"/>
          <w:color w:val="000000"/>
          <w:sz w:val="24"/>
          <w:szCs w:val="24"/>
          <w:rtl/>
        </w:rPr>
        <w:t xml:space="preserve">نافورة شرب معدنية واحدة بمياه مبرَّدة وفلاتر، 6 – 10 مواقف دراجات معدنية، تركيب ثابت في الأرض، مع لوحات إرشادية بسيطة.</w:t>
      </w:r>
    </w:p>
    <w:p>
      <w:pPr>
        <w:pStyle w:val="Heading3"/>
        <w:bidi/>
        <w:spacing w:after="100" w:before="180"/>
        <w:jc w:val="right"/>
      </w:pPr>
      <w:r>
        <w:rPr>
          <w:rFonts w:ascii="Arial" w:cs="Arial" w:eastAsia="Arial" w:hAnsi="Arial"/>
          <w:b/>
          <w:bCs/>
          <w:color w:val="1F4E79"/>
          <w:sz w:val="26"/>
          <w:szCs w:val="26"/>
          <w:rtl/>
        </w:rPr>
        <w:t xml:space="preserve">6.2.10 التصميم والإشراف والاحتياط</w:t>
      </w:r>
    </w:p>
    <w:p>
      <w:pPr>
        <w:bidi/>
        <w:spacing w:after="80" w:before="80" w:line="360"/>
        <w:jc w:val="both"/>
      </w:pPr>
      <w:r>
        <w:rPr>
          <w:rFonts w:ascii="Arial" w:cs="Arial" w:eastAsia="Arial" w:hAnsi="Arial"/>
          <w:b w:val="false"/>
          <w:bCs w:val="false"/>
          <w:color w:val="000000"/>
          <w:sz w:val="24"/>
          <w:szCs w:val="24"/>
          <w:rtl/>
        </w:rPr>
        <w:t xml:space="preserve">بند يشمل أتعاب التصميم المعماري والإنشائي والكهربائي، أعمال الإشراف الميداني، الاحتياطيات لتغطية فروقات الأسعار وأي بنود غير محسوبة.</w:t>
      </w:r>
    </w:p>
    <w:p>
      <w:pPr>
        <w:pStyle w:val="Heading1"/>
        <w:pageBreakBefore/>
        <w:bidi/>
        <w:spacing w:after="200" w:before="360"/>
        <w:jc w:val="right"/>
      </w:pPr>
      <w:r>
        <w:rPr>
          <w:rFonts w:ascii="Arial" w:cs="Arial" w:eastAsia="Arial" w:hAnsi="Arial"/>
          <w:b/>
          <w:bCs/>
          <w:color w:val="1F4E79"/>
          <w:sz w:val="36"/>
          <w:szCs w:val="36"/>
          <w:rtl/>
        </w:rPr>
        <w:t xml:space="preserve">7. الخيار الثاني: مساحة 1000 م² – المكونات والمواصفات</w:t>
      </w:r>
    </w:p>
    <w:p>
      <w:pPr>
        <w:pStyle w:val="Heading2"/>
        <w:bidi/>
        <w:spacing w:after="140" w:before="240"/>
        <w:jc w:val="right"/>
      </w:pPr>
      <w:r>
        <w:rPr>
          <w:rFonts w:ascii="Arial" w:cs="Arial" w:eastAsia="Arial" w:hAnsi="Arial"/>
          <w:b/>
          <w:bCs/>
          <w:color w:val="2E75B6"/>
          <w:sz w:val="30"/>
          <w:szCs w:val="30"/>
          <w:rtl/>
        </w:rPr>
        <w:t xml:space="preserve">7.1 الوصف العام</w:t>
      </w:r>
    </w:p>
    <w:p>
      <w:pPr>
        <w:bidi/>
        <w:spacing w:after="80" w:before="80" w:line="360"/>
        <w:jc w:val="both"/>
      </w:pPr>
      <w:r>
        <w:rPr>
          <w:rFonts w:ascii="Arial" w:cs="Arial" w:eastAsia="Arial" w:hAnsi="Arial"/>
          <w:b w:val="false"/>
          <w:bCs w:val="false"/>
          <w:color w:val="000000"/>
          <w:sz w:val="24"/>
          <w:szCs w:val="24"/>
          <w:rtl/>
        </w:rPr>
        <w:t xml:space="preserve">يُقدَّم هذا الخيار كنسخة عائلية رياضية ترفيهية متكاملة، تستوعب نشاطات متعددة بصورة أكثر راحة، وتتيح وجود مرافق إضافية (مطعم، مسار جري، غرف تبديل ولوكرات) تجعل المرفق أقرب للمنتزه العائلي الكامل، لا مجرد مجمع رياضي.</w:t>
      </w:r>
    </w:p>
    <w:p>
      <w:pPr>
        <w:pStyle w:val="Heading2"/>
        <w:bidi/>
        <w:spacing w:after="140" w:before="240"/>
        <w:jc w:val="right"/>
      </w:pPr>
      <w:r>
        <w:rPr>
          <w:rFonts w:ascii="Arial" w:cs="Arial" w:eastAsia="Arial" w:hAnsi="Arial"/>
          <w:b/>
          <w:bCs/>
          <w:color w:val="2E75B6"/>
          <w:sz w:val="30"/>
          <w:szCs w:val="30"/>
          <w:rtl/>
        </w:rPr>
        <w:t xml:space="preserve">7.2 المكونات الرئيسية</w:t>
      </w:r>
    </w:p>
    <w:p>
      <w:pPr>
        <w:pStyle w:val="Heading3"/>
        <w:bidi/>
        <w:spacing w:after="100" w:before="180"/>
        <w:jc w:val="right"/>
      </w:pPr>
      <w:r>
        <w:rPr>
          <w:rFonts w:ascii="Arial" w:cs="Arial" w:eastAsia="Arial" w:hAnsi="Arial"/>
          <w:b/>
          <w:bCs/>
          <w:color w:val="1F4E79"/>
          <w:sz w:val="26"/>
          <w:szCs w:val="26"/>
          <w:rtl/>
        </w:rPr>
        <w:t xml:space="preserve">7.2.1 ملعبا بادل</w:t>
      </w:r>
    </w:p>
    <w:p>
      <w:pPr>
        <w:bidi/>
        <w:spacing w:after="80" w:before="80" w:line="360"/>
        <w:jc w:val="both"/>
      </w:pPr>
      <w:r>
        <w:rPr>
          <w:rFonts w:ascii="Arial" w:cs="Arial" w:eastAsia="Arial" w:hAnsi="Arial"/>
          <w:b w:val="false"/>
          <w:bCs w:val="false"/>
          <w:color w:val="000000"/>
          <w:sz w:val="24"/>
          <w:szCs w:val="24"/>
          <w:rtl/>
        </w:rPr>
        <w:t xml:space="preserve">ملعبان خارجيان قياسيان (20م × 10م لكل واحد)، بنفس مواصفات الخيار الأول لكن مع تنفيذ متزامن يُحقّق وفراً في كلفة النقل والتركيب والمقاولة. يُفضَّل ترتيبهما بصورة متوازية أو ظهرٍ لظهر بحسب توجيه قطعة الأرض.</w:t>
      </w:r>
    </w:p>
    <w:p>
      <w:pPr>
        <w:pStyle w:val="Heading3"/>
        <w:bidi/>
        <w:spacing w:after="100" w:before="180"/>
        <w:jc w:val="right"/>
      </w:pPr>
      <w:r>
        <w:rPr>
          <w:rFonts w:ascii="Arial" w:cs="Arial" w:eastAsia="Arial" w:hAnsi="Arial"/>
          <w:b/>
          <w:bCs/>
          <w:color w:val="1F4E79"/>
          <w:sz w:val="26"/>
          <w:szCs w:val="26"/>
          <w:rtl/>
        </w:rPr>
        <w:t xml:space="preserve">7.2.2 البولينغ Compact – 3 مسارات</w:t>
      </w:r>
    </w:p>
    <w:p>
      <w:pPr>
        <w:bidi/>
        <w:spacing w:after="80" w:before="80" w:line="360"/>
        <w:jc w:val="both"/>
      </w:pPr>
      <w:r>
        <w:rPr>
          <w:rFonts w:ascii="Arial" w:cs="Arial" w:eastAsia="Arial" w:hAnsi="Arial"/>
          <w:b w:val="false"/>
          <w:bCs w:val="false"/>
          <w:color w:val="000000"/>
          <w:sz w:val="24"/>
          <w:szCs w:val="24"/>
          <w:rtl/>
        </w:rPr>
        <w:t xml:space="preserve">نسخة compact (مدمجة) من البولينغ، 3 مسارات قصيرة المدى، مغطّاة بمسقف خفيف، مع نظام scoring أفضل، إنارة موجَّهة، أرضية خشبية مناسبة، وحاجبات بسيطة بين المسارات. تخدم العوائل والأطفال والشباب بشكل مشترك.</w:t>
      </w:r>
    </w:p>
    <w:p>
      <w:pPr>
        <w:pStyle w:val="Heading3"/>
        <w:bidi/>
        <w:spacing w:after="100" w:before="180"/>
        <w:jc w:val="right"/>
      </w:pPr>
      <w:r>
        <w:rPr>
          <w:rFonts w:ascii="Arial" w:cs="Arial" w:eastAsia="Arial" w:hAnsi="Arial"/>
          <w:b/>
          <w:bCs/>
          <w:color w:val="1F4E79"/>
          <w:sz w:val="26"/>
          <w:szCs w:val="26"/>
          <w:rtl/>
        </w:rPr>
        <w:t xml:space="preserve">7.2.3 الكافيه + المطعم العائلي</w:t>
      </w:r>
    </w:p>
    <w:p>
      <w:pPr>
        <w:bidi/>
        <w:spacing w:after="80" w:before="80" w:line="360"/>
        <w:jc w:val="both"/>
      </w:pPr>
      <w:r>
        <w:rPr>
          <w:rFonts w:ascii="Arial" w:cs="Arial" w:eastAsia="Arial" w:hAnsi="Arial"/>
          <w:b w:val="false"/>
          <w:bCs w:val="false"/>
          <w:color w:val="000000"/>
          <w:sz w:val="24"/>
          <w:szCs w:val="24"/>
          <w:rtl/>
        </w:rPr>
        <w:t xml:space="preserve">بناء أكبر بمساحة 40 – 60 م² يُقسَّم إلى منطقة تجهيز ومنطقة طلبات، مع جلسات داخلية بسيطة وجلسات خارجية مظلَّلة. يُجهَّز بنقاط كهرباء وماء كاملة، تبريد، شفط، وتجهيزات أساسية. يُمكن تشغيله بعقد إيجار أو شراكة إيراد.</w:t>
      </w:r>
    </w:p>
    <w:p>
      <w:pPr>
        <w:pStyle w:val="Heading3"/>
        <w:bidi/>
        <w:spacing w:after="100" w:before="180"/>
        <w:jc w:val="right"/>
      </w:pPr>
      <w:r>
        <w:rPr>
          <w:rFonts w:ascii="Arial" w:cs="Arial" w:eastAsia="Arial" w:hAnsi="Arial"/>
          <w:b/>
          <w:bCs/>
          <w:color w:val="1F4E79"/>
          <w:sz w:val="26"/>
          <w:szCs w:val="26"/>
          <w:rtl/>
        </w:rPr>
        <w:t xml:space="preserve">7.2.4 الصحيات + غرف التبديل + اللوكرات</w:t>
      </w:r>
    </w:p>
    <w:p>
      <w:pPr>
        <w:bidi/>
        <w:spacing w:after="80" w:before="80" w:line="360"/>
        <w:jc w:val="both"/>
      </w:pPr>
      <w:r>
        <w:rPr>
          <w:rFonts w:ascii="Arial" w:cs="Arial" w:eastAsia="Arial" w:hAnsi="Arial"/>
          <w:b w:val="false"/>
          <w:bCs w:val="false"/>
          <w:color w:val="000000"/>
          <w:sz w:val="24"/>
          <w:szCs w:val="24"/>
          <w:rtl/>
        </w:rPr>
        <w:t xml:space="preserve">منظومة صحيات أكبر بحوالي 30 – 45 م²، تشمل: صحيات للجنسين، غرفة تبديل صغيرة بـ 6 – 10 لوكرات، تهوية جيدة، إضاءة، وتجهيزات أكثر متانة لمواجهة الاستخدام الكثيف.</w:t>
      </w:r>
    </w:p>
    <w:p>
      <w:pPr>
        <w:pStyle w:val="Heading3"/>
        <w:bidi/>
        <w:spacing w:after="100" w:before="180"/>
        <w:jc w:val="right"/>
      </w:pPr>
      <w:r>
        <w:rPr>
          <w:rFonts w:ascii="Arial" w:cs="Arial" w:eastAsia="Arial" w:hAnsi="Arial"/>
          <w:b/>
          <w:bCs/>
          <w:color w:val="1F4E79"/>
          <w:sz w:val="26"/>
          <w:szCs w:val="26"/>
          <w:rtl/>
        </w:rPr>
        <w:t xml:space="preserve">7.2.5 الممرات + الباركنك المائل + مسار الجري</w:t>
      </w:r>
    </w:p>
    <w:p>
      <w:pPr>
        <w:bidi/>
        <w:spacing w:after="80" w:before="80" w:line="360"/>
        <w:jc w:val="both"/>
      </w:pPr>
      <w:r>
        <w:rPr>
          <w:rFonts w:ascii="Arial" w:cs="Arial" w:eastAsia="Arial" w:hAnsi="Arial"/>
          <w:b w:val="false"/>
          <w:bCs w:val="false"/>
          <w:color w:val="000000"/>
          <w:sz w:val="24"/>
          <w:szCs w:val="24"/>
          <w:rtl/>
        </w:rPr>
        <w:t xml:space="preserve">ممرات داخلية واسعة للمشاة، باركنك مائل على حافة الشارع، إضافة إلى مسار جري محيطي (60 – 90 م² تقريباً) بأرضية مطاطية أو إسفلتية ناعمة، علامات أرضية بكل 50م، وإنارة كافية للجري المسائي.</w:t>
      </w:r>
    </w:p>
    <w:p>
      <w:pPr>
        <w:pStyle w:val="Heading3"/>
        <w:bidi/>
        <w:spacing w:after="100" w:before="180"/>
        <w:jc w:val="right"/>
      </w:pPr>
      <w:r>
        <w:rPr>
          <w:rFonts w:ascii="Arial" w:cs="Arial" w:eastAsia="Arial" w:hAnsi="Arial"/>
          <w:b/>
          <w:bCs/>
          <w:color w:val="1F4E79"/>
          <w:sz w:val="26"/>
          <w:szCs w:val="26"/>
          <w:rtl/>
        </w:rPr>
        <w:t xml:space="preserve">7.2.6 المسقفات والجلسات العائلية</w:t>
      </w:r>
    </w:p>
    <w:p>
      <w:pPr>
        <w:bidi/>
        <w:spacing w:after="80" w:before="80" w:line="360"/>
        <w:jc w:val="both"/>
      </w:pPr>
      <w:r>
        <w:rPr>
          <w:rFonts w:ascii="Arial" w:cs="Arial" w:eastAsia="Arial" w:hAnsi="Arial"/>
          <w:b w:val="false"/>
          <w:bCs w:val="false"/>
          <w:color w:val="000000"/>
          <w:sz w:val="24"/>
          <w:szCs w:val="24"/>
          <w:rtl/>
        </w:rPr>
        <w:t xml:space="preserve">منظومة مظلات أكبر، مع مزيج من Pergolas الخشبية/المعدنية وSails النسيجية، تغطّي الجلسات العائلية والممرات الحرجة، وتمنح المرفق طابعاً عائلياً مظلَّلاً ودافئاً.</w:t>
      </w:r>
    </w:p>
    <w:p>
      <w:pPr>
        <w:pStyle w:val="Heading3"/>
        <w:bidi/>
        <w:spacing w:after="100" w:before="180"/>
        <w:jc w:val="right"/>
      </w:pPr>
      <w:r>
        <w:rPr>
          <w:rFonts w:ascii="Arial" w:cs="Arial" w:eastAsia="Arial" w:hAnsi="Arial"/>
          <w:b/>
          <w:bCs/>
          <w:color w:val="1F4E79"/>
          <w:sz w:val="26"/>
          <w:szCs w:val="26"/>
          <w:rtl/>
        </w:rPr>
        <w:t xml:space="preserve">7.2.7 التشجير + المساحة الخضراء + الري</w:t>
      </w:r>
    </w:p>
    <w:p>
      <w:pPr>
        <w:bidi/>
        <w:spacing w:after="80" w:before="80" w:line="360"/>
        <w:jc w:val="both"/>
      </w:pPr>
      <w:r>
        <w:rPr>
          <w:rFonts w:ascii="Arial" w:cs="Arial" w:eastAsia="Arial" w:hAnsi="Arial"/>
          <w:b w:val="false"/>
          <w:bCs w:val="false"/>
          <w:color w:val="000000"/>
          <w:sz w:val="24"/>
          <w:szCs w:val="24"/>
          <w:rtl/>
        </w:rPr>
        <w:t xml:space="preserve">منظومة لاندسكيب أوسع: مساحات خضراء صغيرة قابلة للجلوس، أحواض زراعية، تشجير محيطي ديكوري، وشبكة ري متكاملة بالتنقيط، مع نظام مؤقت بسيط للتحكم بالري.</w:t>
      </w:r>
    </w:p>
    <w:p>
      <w:pPr>
        <w:pStyle w:val="Heading3"/>
        <w:bidi/>
        <w:spacing w:after="100" w:before="180"/>
        <w:jc w:val="right"/>
      </w:pPr>
      <w:r>
        <w:rPr>
          <w:rFonts w:ascii="Arial" w:cs="Arial" w:eastAsia="Arial" w:hAnsi="Arial"/>
          <w:b/>
          <w:bCs/>
          <w:color w:val="1F4E79"/>
          <w:sz w:val="26"/>
          <w:szCs w:val="26"/>
          <w:rtl/>
        </w:rPr>
        <w:t xml:space="preserve">7.2.8 الإنارة العامة + الكاميرات</w:t>
      </w:r>
    </w:p>
    <w:p>
      <w:pPr>
        <w:bidi/>
        <w:spacing w:after="80" w:before="80" w:line="360"/>
        <w:jc w:val="both"/>
      </w:pPr>
      <w:r>
        <w:rPr>
          <w:rFonts w:ascii="Arial" w:cs="Arial" w:eastAsia="Arial" w:hAnsi="Arial"/>
          <w:b w:val="false"/>
          <w:bCs w:val="false"/>
          <w:color w:val="000000"/>
          <w:sz w:val="24"/>
          <w:szCs w:val="24"/>
          <w:rtl/>
        </w:rPr>
        <w:t xml:space="preserve">إنارة LED شاملة للموقع: ملاعب، ممرات، جلسات، مدخل المرفق، نقاط حرجة. منظومة كاميرات أكثر شمولاً (6 – 10 كاميرات)، مع DVR وقرص تخزين ولوحة عرض في غرفة الإدارة الصغيرة.</w:t>
      </w:r>
    </w:p>
    <w:p>
      <w:pPr>
        <w:pStyle w:val="Heading3"/>
        <w:bidi/>
        <w:spacing w:after="100" w:before="180"/>
        <w:jc w:val="right"/>
      </w:pPr>
      <w:r>
        <w:rPr>
          <w:rFonts w:ascii="Arial" w:cs="Arial" w:eastAsia="Arial" w:hAnsi="Arial"/>
          <w:b/>
          <w:bCs/>
          <w:color w:val="1F4E79"/>
          <w:sz w:val="26"/>
          <w:szCs w:val="26"/>
          <w:rtl/>
        </w:rPr>
        <w:t xml:space="preserve">7.2.9 نافورات الشرب + مواقف الدراجات</w:t>
      </w:r>
    </w:p>
    <w:p>
      <w:pPr>
        <w:bidi/>
        <w:spacing w:after="80" w:before="80" w:line="360"/>
        <w:jc w:val="both"/>
      </w:pPr>
      <w:r>
        <w:rPr>
          <w:rFonts w:ascii="Arial" w:cs="Arial" w:eastAsia="Arial" w:hAnsi="Arial"/>
          <w:b w:val="false"/>
          <w:bCs w:val="false"/>
          <w:color w:val="000000"/>
          <w:sz w:val="24"/>
          <w:szCs w:val="24"/>
          <w:rtl/>
        </w:rPr>
        <w:t xml:space="preserve">نافورتا شرب معدنيتان موزَّعتان في الموقع، 12 – 16 موقف دراجات، إضافة إلى لوحات إرشادية كاملة للمنشأة.</w:t>
      </w:r>
    </w:p>
    <w:p>
      <w:pPr>
        <w:pStyle w:val="Heading3"/>
        <w:bidi/>
        <w:spacing w:after="100" w:before="180"/>
        <w:jc w:val="right"/>
      </w:pPr>
      <w:r>
        <w:rPr>
          <w:rFonts w:ascii="Arial" w:cs="Arial" w:eastAsia="Arial" w:hAnsi="Arial"/>
          <w:b/>
          <w:bCs/>
          <w:color w:val="1F4E79"/>
          <w:sz w:val="26"/>
          <w:szCs w:val="26"/>
          <w:rtl/>
        </w:rPr>
        <w:t xml:space="preserve">7.2.10 الكهرباء والماء والصرف العام</w:t>
      </w:r>
    </w:p>
    <w:p>
      <w:pPr>
        <w:bidi/>
        <w:spacing w:after="80" w:before="80" w:line="360"/>
        <w:jc w:val="both"/>
      </w:pPr>
      <w:r>
        <w:rPr>
          <w:rFonts w:ascii="Arial" w:cs="Arial" w:eastAsia="Arial" w:hAnsi="Arial"/>
          <w:b w:val="false"/>
          <w:bCs w:val="false"/>
          <w:color w:val="000000"/>
          <w:sz w:val="24"/>
          <w:szCs w:val="24"/>
          <w:rtl/>
        </w:rPr>
        <w:t xml:space="preserve">لوحة كهربائية رئيسية + لوحات فرعية، تمديدات ماء وصرف لكل المرافق الخدمية (الكافيه، الصحيات، النافورات، الري)، نقاط تحكم وقفل آمن، مع توافق مع متطلبات السلامة.</w:t>
      </w:r>
    </w:p>
    <w:p>
      <w:pPr>
        <w:pStyle w:val="Heading3"/>
        <w:bidi/>
        <w:spacing w:after="100" w:before="180"/>
        <w:jc w:val="right"/>
      </w:pPr>
      <w:r>
        <w:rPr>
          <w:rFonts w:ascii="Arial" w:cs="Arial" w:eastAsia="Arial" w:hAnsi="Arial"/>
          <w:b/>
          <w:bCs/>
          <w:color w:val="1F4E79"/>
          <w:sz w:val="26"/>
          <w:szCs w:val="26"/>
          <w:rtl/>
        </w:rPr>
        <w:t xml:space="preserve">7.2.11 التصميم والإشراف والاحتياط</w:t>
      </w:r>
    </w:p>
    <w:p>
      <w:pPr>
        <w:bidi/>
        <w:spacing w:after="80" w:before="80" w:line="360"/>
        <w:jc w:val="both"/>
      </w:pPr>
      <w:r>
        <w:rPr>
          <w:rFonts w:ascii="Arial" w:cs="Arial" w:eastAsia="Arial" w:hAnsi="Arial"/>
          <w:b w:val="false"/>
          <w:bCs w:val="false"/>
          <w:color w:val="000000"/>
          <w:sz w:val="24"/>
          <w:szCs w:val="24"/>
          <w:rtl/>
        </w:rPr>
        <w:t xml:space="preserve">نسبة أعلى نسبياً من الخيار الأول بسبب اتساع المنشأة وتعدّد المكونات، تشمل تصميماً معمارياً وإنشائياً كاملاً، رسومات تنفيذية، إشراف ميداني، فحوصات، احتياط (≈ 10%).</w:t>
      </w:r>
    </w:p>
    <w:p>
      <w:pPr>
        <w:pStyle w:val="Heading1"/>
        <w:pageBreakBefore/>
        <w:bidi/>
        <w:spacing w:after="200" w:before="360"/>
        <w:jc w:val="right"/>
      </w:pPr>
      <w:r>
        <w:rPr>
          <w:rFonts w:ascii="Arial" w:cs="Arial" w:eastAsia="Arial" w:hAnsi="Arial"/>
          <w:b/>
          <w:bCs/>
          <w:color w:val="1F4E79"/>
          <w:sz w:val="36"/>
          <w:szCs w:val="36"/>
          <w:rtl/>
        </w:rPr>
        <w:t xml:space="preserve">8. الكلف التخمينية – الخيار الأول (500 م²)</w:t>
      </w:r>
    </w:p>
    <w:p>
      <w:pPr>
        <w:pStyle w:val="Heading2"/>
        <w:bidi/>
        <w:spacing w:after="140" w:before="240"/>
        <w:jc w:val="right"/>
      </w:pPr>
      <w:r>
        <w:rPr>
          <w:rFonts w:ascii="Arial" w:cs="Arial" w:eastAsia="Arial" w:hAnsi="Arial"/>
          <w:b/>
          <w:bCs/>
          <w:color w:val="2E75B6"/>
          <w:sz w:val="30"/>
          <w:szCs w:val="30"/>
          <w:rtl/>
        </w:rPr>
        <w:t xml:space="preserve">8.1 المنهجية</w:t>
      </w:r>
    </w:p>
    <w:p>
      <w:pPr>
        <w:bidi/>
        <w:spacing w:after="80" w:before="80" w:line="360"/>
        <w:jc w:val="both"/>
      </w:pPr>
      <w:r>
        <w:rPr>
          <w:rFonts w:ascii="Arial" w:cs="Arial" w:eastAsia="Arial" w:hAnsi="Arial"/>
          <w:b w:val="false"/>
          <w:bCs w:val="false"/>
          <w:color w:val="000000"/>
          <w:sz w:val="24"/>
          <w:szCs w:val="24"/>
          <w:rtl/>
        </w:rPr>
        <w:t xml:space="preserve">اعتُمد في احتساب الكلف نظام البنود الإفرادية (Unit Cost)، بحيث يحتوي كل بند على نطاقه السعري الخاص بثلاث درجات: اقتصادي – قياسي – فخم. هذا الأسلوب يمنح المدير العام مرونة كاملة في انتقاء الدرجة المناسبة لكل بند بحسب الميزانية المتاحة، ويسمح بإعداد كشف تفصيلي لاحق دون الحاجة إلى إعادة بناء الدراسة من الصفر.</w:t>
      </w:r>
    </w:p>
    <w:p>
      <w:pPr>
        <w:bidi/>
        <w:spacing w:after="80" w:before="80" w:line="360"/>
        <w:jc w:val="both"/>
      </w:pPr>
      <w:r>
        <w:rPr>
          <w:rFonts w:ascii="Arial" w:cs="Arial" w:eastAsia="Arial" w:hAnsi="Arial"/>
          <w:b w:val="false"/>
          <w:bCs w:val="false"/>
          <w:color w:val="000000"/>
          <w:sz w:val="24"/>
          <w:szCs w:val="24"/>
          <w:rtl/>
        </w:rPr>
        <w:t xml:space="preserve">ملاحظات منهجية مهمة:</w:t>
      </w:r>
    </w:p>
    <w:p>
      <w:pPr>
        <w:pStyle w:val="ListParagraph"/>
        <w:numPr>
          <w:ilvl w:val="0"/>
          <w:numId w:val="2"/>
        </w:numPr>
        <w:bidi/>
        <w:spacing w:after="40" w:before="40" w:line="320"/>
        <w:jc w:val="right"/>
      </w:pPr>
      <w:r>
        <w:rPr>
          <w:rFonts w:ascii="Arial" w:cs="Arial" w:eastAsia="Arial" w:hAnsi="Arial"/>
          <w:sz w:val="24"/>
          <w:szCs w:val="24"/>
          <w:rtl/>
        </w:rPr>
        <w:t xml:space="preserve">الأرقام تخمينية أولية بمستوى دراسة جدوى، وليست عرض أسعار رسمياً. الكشف التفصيلي يصدر عن لجنة فنية في مرحلة لاحقة.</w:t>
      </w:r>
    </w:p>
    <w:p>
      <w:pPr>
        <w:pStyle w:val="ListParagraph"/>
        <w:numPr>
          <w:ilvl w:val="0"/>
          <w:numId w:val="2"/>
        </w:numPr>
        <w:bidi/>
        <w:spacing w:after="40" w:before="40" w:line="320"/>
        <w:jc w:val="right"/>
      </w:pPr>
      <w:r>
        <w:rPr>
          <w:rFonts w:ascii="Arial" w:cs="Arial" w:eastAsia="Arial" w:hAnsi="Arial"/>
          <w:sz w:val="24"/>
          <w:szCs w:val="24"/>
          <w:rtl/>
        </w:rPr>
        <w:t xml:space="preserve">الكلف بالدينار العراقي، شاملة المواد والتنفيذ، قبل احتساب أي خفض من مساهمة كوادر البلدية (يُحتسب لاحقاً في القسم 12).</w:t>
      </w:r>
    </w:p>
    <w:p>
      <w:pPr>
        <w:pStyle w:val="ListParagraph"/>
        <w:numPr>
          <w:ilvl w:val="0"/>
          <w:numId w:val="2"/>
        </w:numPr>
        <w:bidi/>
        <w:spacing w:after="40" w:before="40" w:line="320"/>
        <w:jc w:val="right"/>
      </w:pPr>
      <w:r>
        <w:rPr>
          <w:rFonts w:ascii="Arial" w:cs="Arial" w:eastAsia="Arial" w:hAnsi="Arial"/>
          <w:sz w:val="24"/>
          <w:szCs w:val="24"/>
          <w:rtl/>
        </w:rPr>
        <w:t xml:space="preserve">لا تشمل الأرقام كلفة شراء الأرض (الأرض من ممتلكات البلدية).</w:t>
      </w:r>
    </w:p>
    <w:p>
      <w:pPr>
        <w:pStyle w:val="Heading2"/>
        <w:bidi/>
        <w:spacing w:after="140" w:before="240"/>
        <w:jc w:val="right"/>
      </w:pPr>
      <w:r>
        <w:rPr>
          <w:rFonts w:ascii="Arial" w:cs="Arial" w:eastAsia="Arial" w:hAnsi="Arial"/>
          <w:b/>
          <w:bCs/>
          <w:color w:val="2E75B6"/>
          <w:sz w:val="30"/>
          <w:szCs w:val="30"/>
          <w:rtl/>
        </w:rPr>
        <w:t xml:space="preserve">8.2 جدول الكلف – الخيار الأول (500 م²)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البند</w:t>
            </w:r>
          </w:p>
        </w:tc>
        <w:tc>
          <w:tcPr>
            <w:tcW w:type="dxa" w:w="212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اقتصادي (مليون د.ع)</w:t>
            </w:r>
          </w:p>
        </w:tc>
        <w:tc>
          <w:tcPr>
            <w:tcW w:type="dxa" w:w="212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قياسي (مليون د.ع)</w:t>
            </w:r>
          </w:p>
        </w:tc>
        <w:tc>
          <w:tcPr>
            <w:tcW w:type="dxa" w:w="212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فخم (مليون د.ع)</w:t>
            </w:r>
          </w:p>
        </w:tc>
      </w:tr>
      <w:tr>
        <w:tc>
          <w:tcPr>
            <w:tcW w:type="dxa" w:w="3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ملعب بادل واحد</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120</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170</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230</w:t>
            </w:r>
          </w:p>
        </w:tc>
      </w:tr>
      <w:tr>
        <w:tc>
          <w:tcPr>
            <w:tcW w:type="dxa" w:w="3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بولينغ ترفيهي مصغّر (1–2 مسار)</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140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240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380</w:t>
            </w:r>
          </w:p>
        </w:tc>
      </w:tr>
      <w:tr>
        <w:tc>
          <w:tcPr>
            <w:tcW w:type="dxa" w:w="3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كافيه صغير + جلسات</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80</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150</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260</w:t>
            </w:r>
          </w:p>
        </w:tc>
      </w:tr>
      <w:tr>
        <w:tc>
          <w:tcPr>
            <w:tcW w:type="dxa" w:w="3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صحيات بسيطة</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35</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65</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110</w:t>
            </w:r>
          </w:p>
        </w:tc>
      </w:tr>
      <w:tr>
        <w:tc>
          <w:tcPr>
            <w:tcW w:type="dxa" w:w="3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الممرات + الباركنك المائل + الأرضيات</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35</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65</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110</w:t>
            </w:r>
          </w:p>
        </w:tc>
      </w:tr>
      <w:tr>
        <w:tc>
          <w:tcPr>
            <w:tcW w:type="dxa" w:w="3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المسقفات والجلسات العائلية</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35</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70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130</w:t>
            </w:r>
          </w:p>
        </w:tc>
      </w:tr>
      <w:tr>
        <w:tc>
          <w:tcPr>
            <w:tcW w:type="dxa" w:w="3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التشجير الديكوري + الري البسيط</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25</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50</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90</w:t>
            </w:r>
          </w:p>
        </w:tc>
      </w:tr>
      <w:tr>
        <w:tc>
          <w:tcPr>
            <w:tcW w:type="dxa" w:w="3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الإنارة العامة + الكاميرات البسيطة</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60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100</w:t>
            </w:r>
          </w:p>
        </w:tc>
      </w:tr>
      <w:tr>
        <w:tc>
          <w:tcPr>
            <w:tcW w:type="dxa" w:w="3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نافورة الشرب + مواقف الدراجات</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8</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18</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35</w:t>
            </w:r>
          </w:p>
        </w:tc>
      </w:tr>
      <w:tr>
        <w:tc>
          <w:tcPr>
            <w:tcW w:type="dxa" w:w="3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التصميم + الإشراف + الاحتياط</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50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90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150</w:t>
            </w:r>
          </w:p>
        </w:tc>
      </w:tr>
      <w:tr>
        <w:tc>
          <w:tcPr>
            <w:tcW w:type="dxa" w:w="300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right"/>
            </w:pPr>
            <w:r>
              <w:rPr>
                <w:rFonts w:ascii="Arial" w:cs="Arial" w:eastAsia="Arial" w:hAnsi="Arial"/>
                <w:b/>
                <w:bCs/>
                <w:color w:val="000000"/>
                <w:sz w:val="22"/>
                <w:szCs w:val="22"/>
                <w:rtl/>
              </w:rPr>
              <w:t xml:space="preserve">الإجمالي</w:t>
            </w:r>
          </w:p>
        </w:tc>
        <w:tc>
          <w:tcPr>
            <w:tcW w:type="dxa" w:w="212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558</w:t>
            </w:r>
          </w:p>
        </w:tc>
        <w:tc>
          <w:tcPr>
            <w:tcW w:type="dxa" w:w="212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978</w:t>
            </w:r>
          </w:p>
        </w:tc>
        <w:tc>
          <w:tcPr>
            <w:tcW w:type="dxa" w:w="212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1,595</w:t>
            </w:r>
          </w:p>
        </w:tc>
      </w:tr>
    </w:tbl>
    <w:p>
      <w:pPr>
        <w:spacing w:after="200" w:before="200"/>
      </w:pPr>
    </w:p>
    <w:p>
      <w:pPr>
        <w:pStyle w:val="Heading2"/>
        <w:bidi/>
        <w:spacing w:after="140" w:before="240"/>
        <w:jc w:val="right"/>
      </w:pPr>
      <w:r>
        <w:rPr>
          <w:rFonts w:ascii="Arial" w:cs="Arial" w:eastAsia="Arial" w:hAnsi="Arial"/>
          <w:b/>
          <w:bCs/>
          <w:color w:val="2E75B6"/>
          <w:sz w:val="30"/>
          <w:szCs w:val="30"/>
          <w:rtl/>
        </w:rPr>
        <w:t xml:space="preserve">8.3 ملاحظات على جدول الخيار الأول</w:t>
      </w:r>
    </w:p>
    <w:p>
      <w:pPr>
        <w:pStyle w:val="ListParagraph"/>
        <w:numPr>
          <w:ilvl w:val="0"/>
          <w:numId w:val="2"/>
        </w:numPr>
        <w:bidi/>
        <w:spacing w:after="40" w:before="40" w:line="320"/>
        <w:jc w:val="right"/>
      </w:pPr>
      <w:r>
        <w:rPr>
          <w:rFonts w:ascii="Arial" w:cs="Arial" w:eastAsia="Arial" w:hAnsi="Arial"/>
          <w:sz w:val="24"/>
          <w:szCs w:val="24"/>
          <w:rtl/>
        </w:rPr>
        <w:t xml:space="preserve">النسخة الاقتصادية ≈ 558 مليون د.ع: تستهدف توفير الحد الأدنى الجيد، بمواصفات مقبولة وعمر افتراضي مناسب.</w:t>
      </w:r>
    </w:p>
    <w:p>
      <w:pPr>
        <w:pStyle w:val="ListParagraph"/>
        <w:numPr>
          <w:ilvl w:val="0"/>
          <w:numId w:val="2"/>
        </w:numPr>
        <w:bidi/>
        <w:spacing w:after="40" w:before="40" w:line="320"/>
        <w:jc w:val="right"/>
      </w:pPr>
      <w:r>
        <w:rPr>
          <w:rFonts w:ascii="Arial" w:cs="Arial" w:eastAsia="Arial" w:hAnsi="Arial"/>
          <w:sz w:val="24"/>
          <w:szCs w:val="24"/>
          <w:rtl/>
        </w:rPr>
        <w:t xml:space="preserve">النسخة القياسية ≈ 978 مليون د.ع (≈ 1 مليار): الخيار الأمثل لمشروع بلدي محترم وقابل للعرض الإعلامي.</w:t>
      </w:r>
    </w:p>
    <w:p>
      <w:pPr>
        <w:pStyle w:val="ListParagraph"/>
        <w:numPr>
          <w:ilvl w:val="0"/>
          <w:numId w:val="2"/>
        </w:numPr>
        <w:bidi/>
        <w:spacing w:after="40" w:before="40" w:line="320"/>
        <w:jc w:val="right"/>
      </w:pPr>
      <w:r>
        <w:rPr>
          <w:rFonts w:ascii="Arial" w:cs="Arial" w:eastAsia="Arial" w:hAnsi="Arial"/>
          <w:sz w:val="24"/>
          <w:szCs w:val="24"/>
          <w:rtl/>
        </w:rPr>
        <w:t xml:space="preserve">النسخة الفخمة ≈ 1.595 مليار د.ع: مواصفات عالية، هياكل وزجاج وإنارة احترافية، تشطيب ممتاز.</w:t>
      </w:r>
    </w:p>
    <w:p>
      <w:pPr>
        <w:pStyle w:val="ListParagraph"/>
        <w:numPr>
          <w:ilvl w:val="0"/>
          <w:numId w:val="2"/>
        </w:numPr>
        <w:bidi/>
        <w:spacing w:after="40" w:before="40" w:line="320"/>
        <w:jc w:val="right"/>
      </w:pPr>
      <w:r>
        <w:rPr>
          <w:rFonts w:ascii="Arial" w:cs="Arial" w:eastAsia="Arial" w:hAnsi="Arial"/>
          <w:sz w:val="24"/>
          <w:szCs w:val="24"/>
          <w:rtl/>
        </w:rPr>
        <w:t xml:space="preserve">يمكن خلط الدرجات: مثلاً اعتماد ملعب البادل بدرجة قياسية، والكافيه بدرجة فخمة، والصحيات بدرجة اقتصادية… بحسب أولوية كل بند.</w:t>
      </w:r>
    </w:p>
    <w:p>
      <w:pPr>
        <w:pStyle w:val="Heading1"/>
        <w:pageBreakBefore/>
        <w:bidi/>
        <w:spacing w:after="200" w:before="360"/>
        <w:jc w:val="right"/>
      </w:pPr>
      <w:r>
        <w:rPr>
          <w:rFonts w:ascii="Arial" w:cs="Arial" w:eastAsia="Arial" w:hAnsi="Arial"/>
          <w:b/>
          <w:bCs/>
          <w:color w:val="1F4E79"/>
          <w:sz w:val="36"/>
          <w:szCs w:val="36"/>
          <w:rtl/>
        </w:rPr>
        <w:t xml:space="preserve">9. الكلف التخمينية – الخيار الثاني (1000 م²)</w:t>
      </w:r>
    </w:p>
    <w:p>
      <w:pPr>
        <w:pStyle w:val="Heading2"/>
        <w:bidi/>
        <w:spacing w:after="140" w:before="240"/>
        <w:jc w:val="right"/>
      </w:pPr>
      <w:r>
        <w:rPr>
          <w:rFonts w:ascii="Arial" w:cs="Arial" w:eastAsia="Arial" w:hAnsi="Arial"/>
          <w:b/>
          <w:bCs/>
          <w:color w:val="2E75B6"/>
          <w:sz w:val="30"/>
          <w:szCs w:val="30"/>
          <w:rtl/>
        </w:rPr>
        <w:t xml:space="preserve">9.1 جدول الكلف – الخيار الثاني (1000 م²)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البند</w:t>
            </w:r>
          </w:p>
        </w:tc>
        <w:tc>
          <w:tcPr>
            <w:tcW w:type="dxa" w:w="212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اقتصادي (مليون د.ع)</w:t>
            </w:r>
          </w:p>
        </w:tc>
        <w:tc>
          <w:tcPr>
            <w:tcW w:type="dxa" w:w="212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قياسي (مليون د.ع)</w:t>
            </w:r>
          </w:p>
        </w:tc>
        <w:tc>
          <w:tcPr>
            <w:tcW w:type="dxa" w:w="212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فخم (مليون د.ع)</w:t>
            </w:r>
          </w:p>
        </w:tc>
      </w:tr>
      <w:tr>
        <w:tc>
          <w:tcPr>
            <w:tcW w:type="dxa" w:w="3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ملعبا بادل</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230</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330</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460</w:t>
            </w:r>
          </w:p>
        </w:tc>
      </w:tr>
      <w:tr>
        <w:tc>
          <w:tcPr>
            <w:tcW w:type="dxa" w:w="3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بولينغ Compact (3 مسارات)</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330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550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850</w:t>
            </w:r>
          </w:p>
        </w:tc>
      </w:tr>
      <w:tr>
        <w:tc>
          <w:tcPr>
            <w:tcW w:type="dxa" w:w="3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الكافيه + المطعم العائلي</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150</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280</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500</w:t>
            </w:r>
          </w:p>
        </w:tc>
      </w:tr>
      <w:tr>
        <w:tc>
          <w:tcPr>
            <w:tcW w:type="dxa" w:w="3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الصحيات + التبديل + اللوكرات</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60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110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190</w:t>
            </w:r>
          </w:p>
        </w:tc>
      </w:tr>
      <w:tr>
        <w:tc>
          <w:tcPr>
            <w:tcW w:type="dxa" w:w="3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الممرات + الباركنك + مسار الجري</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75</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140</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240</w:t>
            </w:r>
          </w:p>
        </w:tc>
      </w:tr>
      <w:tr>
        <w:tc>
          <w:tcPr>
            <w:tcW w:type="dxa" w:w="3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المسقفات والجلسات العائلية</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70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140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260</w:t>
            </w:r>
          </w:p>
        </w:tc>
      </w:tr>
      <w:tr>
        <w:tc>
          <w:tcPr>
            <w:tcW w:type="dxa" w:w="3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التشجير + المساحة الخضراء + الري</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50</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100</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180</w:t>
            </w:r>
          </w:p>
        </w:tc>
      </w:tr>
      <w:tr>
        <w:tc>
          <w:tcPr>
            <w:tcW w:type="dxa" w:w="3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الإنارة العامة + الكاميرات</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55</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110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190</w:t>
            </w:r>
          </w:p>
        </w:tc>
      </w:tr>
      <w:tr>
        <w:tc>
          <w:tcPr>
            <w:tcW w:type="dxa" w:w="3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نافورات الشرب + مواقف الدراجات</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12</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25</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50</w:t>
            </w:r>
          </w:p>
        </w:tc>
      </w:tr>
      <w:tr>
        <w:tc>
          <w:tcPr>
            <w:tcW w:type="dxa" w:w="3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الكهرباء والماء والصرف العام</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80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150</w:t>
            </w:r>
          </w:p>
        </w:tc>
        <w:tc>
          <w:tcPr>
            <w:tcW w:type="dxa" w:w="2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270</w:t>
            </w:r>
          </w:p>
        </w:tc>
      </w:tr>
      <w:tr>
        <w:tc>
          <w:tcPr>
            <w:tcW w:type="dxa" w:w="3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التصميم + الإشراف + الاحتياط</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110</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200</w:t>
            </w:r>
          </w:p>
        </w:tc>
        <w:tc>
          <w:tcPr>
            <w:tcW w:type="dxa" w:w="2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350</w:t>
            </w:r>
          </w:p>
        </w:tc>
      </w:tr>
      <w:tr>
        <w:tc>
          <w:tcPr>
            <w:tcW w:type="dxa" w:w="300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right"/>
            </w:pPr>
            <w:r>
              <w:rPr>
                <w:rFonts w:ascii="Arial" w:cs="Arial" w:eastAsia="Arial" w:hAnsi="Arial"/>
                <w:b/>
                <w:bCs/>
                <w:color w:val="000000"/>
                <w:sz w:val="22"/>
                <w:szCs w:val="22"/>
                <w:rtl/>
              </w:rPr>
              <w:t xml:space="preserve">الإجمالي</w:t>
            </w:r>
          </w:p>
        </w:tc>
        <w:tc>
          <w:tcPr>
            <w:tcW w:type="dxa" w:w="212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1,222</w:t>
            </w:r>
          </w:p>
        </w:tc>
        <w:tc>
          <w:tcPr>
            <w:tcW w:type="dxa" w:w="212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2,135</w:t>
            </w:r>
          </w:p>
        </w:tc>
        <w:tc>
          <w:tcPr>
            <w:tcW w:type="dxa" w:w="212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3,540</w:t>
            </w:r>
          </w:p>
        </w:tc>
      </w:tr>
    </w:tbl>
    <w:p>
      <w:pPr>
        <w:spacing w:after="200" w:before="200"/>
      </w:pPr>
    </w:p>
    <w:p>
      <w:pPr>
        <w:pStyle w:val="Heading2"/>
        <w:bidi/>
        <w:spacing w:after="140" w:before="240"/>
        <w:jc w:val="right"/>
      </w:pPr>
      <w:r>
        <w:rPr>
          <w:rFonts w:ascii="Arial" w:cs="Arial" w:eastAsia="Arial" w:hAnsi="Arial"/>
          <w:b/>
          <w:bCs/>
          <w:color w:val="2E75B6"/>
          <w:sz w:val="30"/>
          <w:szCs w:val="30"/>
          <w:rtl/>
        </w:rPr>
        <w:t xml:space="preserve">9.2 لماذا الفرق ليس ضِعفاً؟</w:t>
      </w:r>
    </w:p>
    <w:p>
      <w:pPr>
        <w:bidi/>
        <w:spacing w:after="80" w:before="80" w:line="360"/>
        <w:jc w:val="both"/>
      </w:pPr>
      <w:r>
        <w:rPr>
          <w:rFonts w:ascii="Arial" w:cs="Arial" w:eastAsia="Arial" w:hAnsi="Arial"/>
          <w:b w:val="false"/>
          <w:bCs w:val="false"/>
          <w:color w:val="000000"/>
          <w:sz w:val="24"/>
          <w:szCs w:val="24"/>
          <w:rtl/>
        </w:rPr>
        <w:t xml:space="preserve">قد يبدو الفرق بين كلفة الخيار الأول والخيار الثاني أقل من الضعف للوهلة الأولى، لكن السبب منطقي: العناصر المشتركة (التصميم، الإشراف، الكهرباء الرئيسية، الإدارة، النقل، إنارة المحيط، التحضير الأولي) لا تتضاعف بالكامل عند مضاعفة المساحة، فيما العناصر الإضافية (ملعب بادل ثاني، 3 مسارات بولينغ، مطعم أكبر، مسار جري، صحيات أكبر مع لوكرات) هي ما يرفع الكلفة.</w:t>
      </w:r>
    </w:p>
    <w:p>
      <w:pPr>
        <w:bidi/>
        <w:spacing w:after="80" w:before="80" w:line="360"/>
        <w:jc w:val="both"/>
      </w:pPr>
      <w:r>
        <w:rPr>
          <w:rFonts w:ascii="Arial" w:cs="Arial" w:eastAsia="Arial" w:hAnsi="Arial"/>
          <w:b w:val="false"/>
          <w:bCs w:val="false"/>
          <w:color w:val="000000"/>
          <w:sz w:val="24"/>
          <w:szCs w:val="24"/>
          <w:rtl/>
        </w:rPr>
        <w:t xml:space="preserve">ولذلك، الكلفة الإجمالية للخيار الثاني أعلى بطبيعة الحال، لكن كلفة المتر المربع وكلفة الوحدة النسبية فيه أقل من الخيار الأول، مما يجعله أكثر كفاءة اقتصادية في حال توفّر المساحة والميزانية.</w:t>
      </w:r>
    </w:p>
    <w:p>
      <w:pPr>
        <w:pStyle w:val="Heading2"/>
        <w:bidi/>
        <w:spacing w:after="140" w:before="240"/>
        <w:jc w:val="right"/>
      </w:pPr>
      <w:r>
        <w:rPr>
          <w:rFonts w:ascii="Arial" w:cs="Arial" w:eastAsia="Arial" w:hAnsi="Arial"/>
          <w:b/>
          <w:bCs/>
          <w:color w:val="2E75B6"/>
          <w:sz w:val="30"/>
          <w:szCs w:val="30"/>
          <w:rtl/>
        </w:rPr>
        <w:t xml:space="preserve">9.3 ملاحظات على جدول الخيار الثاني</w:t>
      </w:r>
    </w:p>
    <w:p>
      <w:pPr>
        <w:pStyle w:val="ListParagraph"/>
        <w:numPr>
          <w:ilvl w:val="0"/>
          <w:numId w:val="2"/>
        </w:numPr>
        <w:bidi/>
        <w:spacing w:after="40" w:before="40" w:line="320"/>
        <w:jc w:val="right"/>
      </w:pPr>
      <w:r>
        <w:rPr>
          <w:rFonts w:ascii="Arial" w:cs="Arial" w:eastAsia="Arial" w:hAnsi="Arial"/>
          <w:sz w:val="24"/>
          <w:szCs w:val="24"/>
          <w:rtl/>
        </w:rPr>
        <w:t xml:space="preserve">النسخة الاقتصادية ≈ 1.222 مليار د.ع: توازن جيد بين السعة الكاملة والميزانية المحدودة.</w:t>
      </w:r>
    </w:p>
    <w:p>
      <w:pPr>
        <w:pStyle w:val="ListParagraph"/>
        <w:numPr>
          <w:ilvl w:val="0"/>
          <w:numId w:val="2"/>
        </w:numPr>
        <w:bidi/>
        <w:spacing w:after="40" w:before="40" w:line="320"/>
        <w:jc w:val="right"/>
      </w:pPr>
      <w:r>
        <w:rPr>
          <w:rFonts w:ascii="Arial" w:cs="Arial" w:eastAsia="Arial" w:hAnsi="Arial"/>
          <w:sz w:val="24"/>
          <w:szCs w:val="24"/>
          <w:rtl/>
        </w:rPr>
        <w:t xml:space="preserve">النسخة القياسية ≈ 2.135 مليار د.ع: الخيار الموصى به لمشروع بلدي متكامل.</w:t>
      </w:r>
    </w:p>
    <w:p>
      <w:pPr>
        <w:pStyle w:val="ListParagraph"/>
        <w:numPr>
          <w:ilvl w:val="0"/>
          <w:numId w:val="2"/>
        </w:numPr>
        <w:bidi/>
        <w:spacing w:after="40" w:before="40" w:line="320"/>
        <w:jc w:val="right"/>
      </w:pPr>
      <w:r>
        <w:rPr>
          <w:rFonts w:ascii="Arial" w:cs="Arial" w:eastAsia="Arial" w:hAnsi="Arial"/>
          <w:sz w:val="24"/>
          <w:szCs w:val="24"/>
          <w:rtl/>
        </w:rPr>
        <w:t xml:space="preserve">النسخة الفخمة ≈ 3.540 مليار د.ع: مرفق نموذجي عالي الجودة قابل ليكون مرجعاً للمحافظة.</w:t>
      </w:r>
    </w:p>
    <w:p>
      <w:pPr>
        <w:pStyle w:val="Heading1"/>
        <w:pageBreakBefore/>
        <w:bidi/>
        <w:spacing w:after="200" w:before="360"/>
        <w:jc w:val="right"/>
      </w:pPr>
      <w:r>
        <w:rPr>
          <w:rFonts w:ascii="Arial" w:cs="Arial" w:eastAsia="Arial" w:hAnsi="Arial"/>
          <w:b/>
          <w:bCs/>
          <w:color w:val="1F4E79"/>
          <w:sz w:val="36"/>
          <w:szCs w:val="36"/>
          <w:rtl/>
        </w:rPr>
        <w:t xml:space="preserve">10. مساهمة كوادر شعبة تجميل المدينة</w:t>
      </w:r>
    </w:p>
    <w:p>
      <w:pPr>
        <w:pStyle w:val="Heading2"/>
        <w:bidi/>
        <w:spacing w:after="140" w:before="240"/>
        <w:jc w:val="right"/>
      </w:pPr>
      <w:r>
        <w:rPr>
          <w:rFonts w:ascii="Arial" w:cs="Arial" w:eastAsia="Arial" w:hAnsi="Arial"/>
          <w:b/>
          <w:bCs/>
          <w:color w:val="2E75B6"/>
          <w:sz w:val="30"/>
          <w:szCs w:val="30"/>
          <w:rtl/>
        </w:rPr>
        <w:t xml:space="preserve">10.1 المنطلق</w:t>
      </w:r>
    </w:p>
    <w:p>
      <w:pPr>
        <w:bidi/>
        <w:spacing w:after="80" w:before="80" w:line="360"/>
        <w:jc w:val="both"/>
      </w:pPr>
      <w:r>
        <w:rPr>
          <w:rFonts w:ascii="Arial" w:cs="Arial" w:eastAsia="Arial" w:hAnsi="Arial"/>
          <w:b w:val="false"/>
          <w:bCs w:val="false"/>
          <w:color w:val="000000"/>
          <w:sz w:val="24"/>
          <w:szCs w:val="24"/>
          <w:rtl/>
        </w:rPr>
        <w:t xml:space="preserve">تمتلك مديرية بلدية البصرة كوادر فنية وهندسية مدرَّبة، وآليات متنوّعة (شفلات، شاحنات، رافعات، مولّدات، معدات تبليط، معدات ري وزراعة، أدوات كهرباء وصبغ وديكور)، إضافة إلى شعبة تجميل المدينة بكوادرها المتخصّصة في الأعمال الموقعية واليدوية. وتوظيف هذه الإمكانيات في تنفيذ هذا المشروع يُحقّق وفراً ملموساً، ويُجنّب البلدية الاعتماد على مقاولة خارجية كاملة بكلفة سوقية عالية.</w:t>
      </w:r>
    </w:p>
    <w:p>
      <w:pPr>
        <w:bidi/>
        <w:spacing w:after="80" w:before="80" w:line="360"/>
        <w:jc w:val="both"/>
      </w:pPr>
      <w:r>
        <w:rPr>
          <w:rFonts w:ascii="Arial" w:cs="Arial" w:eastAsia="Arial" w:hAnsi="Arial"/>
          <w:b w:val="false"/>
          <w:bCs w:val="false"/>
          <w:color w:val="000000"/>
          <w:sz w:val="24"/>
          <w:szCs w:val="24"/>
          <w:rtl/>
        </w:rPr>
        <w:t xml:space="preserve">وقد رُوعِيَ في تقدير الوفر أن لا يُحمَّل الكادر البلدي بأعمال تخصصية خارج اختصاصه (مثل تركيب أنظمة البادل أو معدات البولينغ أو أنظمة الكاميرات المتقدمة)، حتى لا يُؤثر ذلك على جودة المخرجات أو يستغرق وقتاً يفوق المعقول.</w:t>
      </w:r>
    </w:p>
    <w:p>
      <w:pPr>
        <w:pStyle w:val="Heading2"/>
        <w:bidi/>
        <w:spacing w:after="140" w:before="240"/>
        <w:jc w:val="right"/>
      </w:pPr>
      <w:r>
        <w:rPr>
          <w:rFonts w:ascii="Arial" w:cs="Arial" w:eastAsia="Arial" w:hAnsi="Arial"/>
          <w:b/>
          <w:bCs/>
          <w:color w:val="2E75B6"/>
          <w:sz w:val="30"/>
          <w:szCs w:val="30"/>
          <w:rtl/>
        </w:rPr>
        <w:t xml:space="preserve">10.2 الأعمال التي يمكن لكوادر شعبة تجميل المدينة تنفيذها</w:t>
      </w:r>
    </w:p>
    <w:p>
      <w:pPr>
        <w:bidi/>
        <w:spacing w:after="80" w:before="80" w:line="360"/>
        <w:jc w:val="both"/>
      </w:pPr>
      <w:r>
        <w:rPr>
          <w:rFonts w:ascii="Arial" w:cs="Arial" w:eastAsia="Arial" w:hAnsi="Arial"/>
          <w:b w:val="false"/>
          <w:bCs w:val="false"/>
          <w:color w:val="000000"/>
          <w:sz w:val="24"/>
          <w:szCs w:val="24"/>
          <w:rtl/>
        </w:rPr>
        <w:t xml:space="preserve">تُغطّي كوادر الشعبة، بمساعدة الآليات والمواد البلدية، الأعمال الميدانية واليدوية التالية:</w:t>
      </w:r>
    </w:p>
    <w:p>
      <w:pPr>
        <w:pStyle w:val="ListParagraph"/>
        <w:numPr>
          <w:ilvl w:val="0"/>
          <w:numId w:val="2"/>
        </w:numPr>
        <w:bidi/>
        <w:spacing w:after="40" w:before="40" w:line="320"/>
        <w:jc w:val="right"/>
      </w:pPr>
      <w:r>
        <w:rPr>
          <w:rFonts w:ascii="Arial" w:cs="Arial" w:eastAsia="Arial" w:hAnsi="Arial"/>
          <w:sz w:val="24"/>
          <w:szCs w:val="24"/>
          <w:rtl/>
        </w:rPr>
        <w:t xml:space="preserve">تنظيف الموقع وإزالة التجاوزات والتجهيز الأولي.</w:t>
      </w:r>
    </w:p>
    <w:p>
      <w:pPr>
        <w:pStyle w:val="ListParagraph"/>
        <w:numPr>
          <w:ilvl w:val="0"/>
          <w:numId w:val="2"/>
        </w:numPr>
        <w:bidi/>
        <w:spacing w:after="40" w:before="40" w:line="320"/>
        <w:jc w:val="right"/>
      </w:pPr>
      <w:r>
        <w:rPr>
          <w:rFonts w:ascii="Arial" w:cs="Arial" w:eastAsia="Arial" w:hAnsi="Arial"/>
          <w:sz w:val="24"/>
          <w:szCs w:val="24"/>
          <w:rtl/>
        </w:rPr>
        <w:t xml:space="preserve">أعمال التسوية، الحفر، الردم، والحدل.</w:t>
      </w:r>
    </w:p>
    <w:p>
      <w:pPr>
        <w:pStyle w:val="ListParagraph"/>
        <w:numPr>
          <w:ilvl w:val="0"/>
          <w:numId w:val="2"/>
        </w:numPr>
        <w:bidi/>
        <w:spacing w:after="40" w:before="40" w:line="320"/>
        <w:jc w:val="right"/>
      </w:pPr>
      <w:r>
        <w:rPr>
          <w:rFonts w:ascii="Arial" w:cs="Arial" w:eastAsia="Arial" w:hAnsi="Arial"/>
          <w:sz w:val="24"/>
          <w:szCs w:val="24"/>
          <w:rtl/>
        </w:rPr>
        <w:t xml:space="preserve">أعمال الأرضيات والممرات والكربستون والتبليط البسيط.</w:t>
      </w:r>
    </w:p>
    <w:p>
      <w:pPr>
        <w:pStyle w:val="ListParagraph"/>
        <w:numPr>
          <w:ilvl w:val="0"/>
          <w:numId w:val="2"/>
        </w:numPr>
        <w:bidi/>
        <w:spacing w:after="40" w:before="40" w:line="320"/>
        <w:jc w:val="right"/>
      </w:pPr>
      <w:r>
        <w:rPr>
          <w:rFonts w:ascii="Arial" w:cs="Arial" w:eastAsia="Arial" w:hAnsi="Arial"/>
          <w:sz w:val="24"/>
          <w:szCs w:val="24"/>
          <w:rtl/>
        </w:rPr>
        <w:t xml:space="preserve">تنفيذ مسار الجري بأرضية بسيطة (إسفلتية أو بأرضية مهيَّأة).</w:t>
      </w:r>
    </w:p>
    <w:p>
      <w:pPr>
        <w:pStyle w:val="ListParagraph"/>
        <w:numPr>
          <w:ilvl w:val="0"/>
          <w:numId w:val="2"/>
        </w:numPr>
        <w:bidi/>
        <w:spacing w:after="40" w:before="40" w:line="320"/>
        <w:jc w:val="right"/>
      </w:pPr>
      <w:r>
        <w:rPr>
          <w:rFonts w:ascii="Arial" w:cs="Arial" w:eastAsia="Arial" w:hAnsi="Arial"/>
          <w:sz w:val="24"/>
          <w:szCs w:val="24"/>
          <w:rtl/>
        </w:rPr>
        <w:t xml:space="preserve">الباركنك المائل على حافة الشارع المحاذي وعلاماته الأرضية.</w:t>
      </w:r>
    </w:p>
    <w:p>
      <w:pPr>
        <w:pStyle w:val="ListParagraph"/>
        <w:numPr>
          <w:ilvl w:val="0"/>
          <w:numId w:val="2"/>
        </w:numPr>
        <w:bidi/>
        <w:spacing w:after="40" w:before="40" w:line="320"/>
        <w:jc w:val="right"/>
      </w:pPr>
      <w:r>
        <w:rPr>
          <w:rFonts w:ascii="Arial" w:cs="Arial" w:eastAsia="Arial" w:hAnsi="Arial"/>
          <w:sz w:val="24"/>
          <w:szCs w:val="24"/>
          <w:rtl/>
        </w:rPr>
        <w:t xml:space="preserve">التشجير الديكوري، تجهيز التربة الزراعية، الأحواض، شتلات أساسية.</w:t>
      </w:r>
    </w:p>
    <w:p>
      <w:pPr>
        <w:pStyle w:val="ListParagraph"/>
        <w:numPr>
          <w:ilvl w:val="0"/>
          <w:numId w:val="2"/>
        </w:numPr>
        <w:bidi/>
        <w:spacing w:after="40" w:before="40" w:line="320"/>
        <w:jc w:val="right"/>
      </w:pPr>
      <w:r>
        <w:rPr>
          <w:rFonts w:ascii="Arial" w:cs="Arial" w:eastAsia="Arial" w:hAnsi="Arial"/>
          <w:sz w:val="24"/>
          <w:szCs w:val="24"/>
          <w:rtl/>
        </w:rPr>
        <w:t xml:space="preserve">نصب وتركيب المسقفات الخفيفة بأنواعها (Pergola، Sails، نسيجية بسيطة).</w:t>
      </w:r>
    </w:p>
    <w:p>
      <w:pPr>
        <w:pStyle w:val="ListParagraph"/>
        <w:numPr>
          <w:ilvl w:val="0"/>
          <w:numId w:val="2"/>
        </w:numPr>
        <w:bidi/>
        <w:spacing w:after="40" w:before="40" w:line="320"/>
        <w:jc w:val="right"/>
      </w:pPr>
      <w:r>
        <w:rPr>
          <w:rFonts w:ascii="Arial" w:cs="Arial" w:eastAsia="Arial" w:hAnsi="Arial"/>
          <w:sz w:val="24"/>
          <w:szCs w:val="24"/>
          <w:rtl/>
        </w:rPr>
        <w:t xml:space="preserve">نصب الجلسات العائلية، نافورات الشرب، مواقف الدراجات، اللوحات الإرشادية الجاهزة.</w:t>
      </w:r>
    </w:p>
    <w:p>
      <w:pPr>
        <w:pStyle w:val="ListParagraph"/>
        <w:numPr>
          <w:ilvl w:val="0"/>
          <w:numId w:val="2"/>
        </w:numPr>
        <w:bidi/>
        <w:spacing w:after="40" w:before="40" w:line="320"/>
        <w:jc w:val="right"/>
      </w:pPr>
      <w:r>
        <w:rPr>
          <w:rFonts w:ascii="Arial" w:cs="Arial" w:eastAsia="Arial" w:hAnsi="Arial"/>
          <w:sz w:val="24"/>
          <w:szCs w:val="24"/>
          <w:rtl/>
        </w:rPr>
        <w:t xml:space="preserve">الإنارة العامة للممرات والمحيط (تمديدات وتوصيلات بسيطة، أعمدة وكشافات قياسية).</w:t>
      </w:r>
    </w:p>
    <w:p>
      <w:pPr>
        <w:pStyle w:val="ListParagraph"/>
        <w:numPr>
          <w:ilvl w:val="0"/>
          <w:numId w:val="2"/>
        </w:numPr>
        <w:bidi/>
        <w:spacing w:after="40" w:before="40" w:line="320"/>
        <w:jc w:val="right"/>
      </w:pPr>
      <w:r>
        <w:rPr>
          <w:rFonts w:ascii="Arial" w:cs="Arial" w:eastAsia="Arial" w:hAnsi="Arial"/>
          <w:sz w:val="24"/>
          <w:szCs w:val="24"/>
          <w:rtl/>
        </w:rPr>
        <w:t xml:space="preserve">الكهرباء الخدمية وتمديدات الماء والصرف البسيط.</w:t>
      </w:r>
    </w:p>
    <w:p>
      <w:pPr>
        <w:pStyle w:val="ListParagraph"/>
        <w:numPr>
          <w:ilvl w:val="0"/>
          <w:numId w:val="2"/>
        </w:numPr>
        <w:bidi/>
        <w:spacing w:after="40" w:before="40" w:line="320"/>
        <w:jc w:val="right"/>
      </w:pPr>
      <w:r>
        <w:rPr>
          <w:rFonts w:ascii="Arial" w:cs="Arial" w:eastAsia="Arial" w:hAnsi="Arial"/>
          <w:sz w:val="24"/>
          <w:szCs w:val="24"/>
          <w:rtl/>
        </w:rPr>
        <w:t xml:space="preserve">نظام الري بالتنقيط البسيط ومحابس التحكم.</w:t>
      </w:r>
    </w:p>
    <w:p>
      <w:pPr>
        <w:pStyle w:val="ListParagraph"/>
        <w:numPr>
          <w:ilvl w:val="0"/>
          <w:numId w:val="2"/>
        </w:numPr>
        <w:bidi/>
        <w:spacing w:after="40" w:before="40" w:line="320"/>
        <w:jc w:val="right"/>
      </w:pPr>
      <w:r>
        <w:rPr>
          <w:rFonts w:ascii="Arial" w:cs="Arial" w:eastAsia="Arial" w:hAnsi="Arial"/>
          <w:sz w:val="24"/>
          <w:szCs w:val="24"/>
          <w:rtl/>
        </w:rPr>
        <w:t xml:space="preserve">أعمال الصبغ والتخطيط الأرضي والديكور البسيط.</w:t>
      </w:r>
    </w:p>
    <w:p>
      <w:pPr>
        <w:pStyle w:val="ListParagraph"/>
        <w:numPr>
          <w:ilvl w:val="0"/>
          <w:numId w:val="2"/>
        </w:numPr>
        <w:bidi/>
        <w:spacing w:after="40" w:before="40" w:line="320"/>
        <w:jc w:val="right"/>
      </w:pPr>
      <w:r>
        <w:rPr>
          <w:rFonts w:ascii="Arial" w:cs="Arial" w:eastAsia="Arial" w:hAnsi="Arial"/>
          <w:sz w:val="24"/>
          <w:szCs w:val="24"/>
          <w:rtl/>
        </w:rPr>
        <w:t xml:space="preserve">التنظيف النهائي، تسليم الموقع، أعمال التجميل البصري الختامية.</w:t>
      </w:r>
    </w:p>
    <w:p>
      <w:pPr>
        <w:pStyle w:val="Heading2"/>
        <w:bidi/>
        <w:spacing w:after="140" w:before="240"/>
        <w:jc w:val="right"/>
      </w:pPr>
      <w:r>
        <w:rPr>
          <w:rFonts w:ascii="Arial" w:cs="Arial" w:eastAsia="Arial" w:hAnsi="Arial"/>
          <w:b/>
          <w:bCs/>
          <w:color w:val="2E75B6"/>
          <w:sz w:val="30"/>
          <w:szCs w:val="30"/>
          <w:rtl/>
        </w:rPr>
        <w:t xml:space="preserve">10.3 الأعمال التي تبقى تخصصية (لا تنفذها كوادر البلدية)</w:t>
      </w:r>
    </w:p>
    <w:p>
      <w:pPr>
        <w:pStyle w:val="ListParagraph"/>
        <w:numPr>
          <w:ilvl w:val="0"/>
          <w:numId w:val="2"/>
        </w:numPr>
        <w:bidi/>
        <w:spacing w:after="40" w:before="40" w:line="320"/>
        <w:jc w:val="right"/>
      </w:pPr>
      <w:r>
        <w:rPr>
          <w:rFonts w:ascii="Arial" w:cs="Arial" w:eastAsia="Arial" w:hAnsi="Arial"/>
          <w:sz w:val="24"/>
          <w:szCs w:val="24"/>
          <w:rtl/>
        </w:rPr>
        <w:t xml:space="preserve">تجهيز وتركيب ملاعب البادل (الهيكل المعدني، الزجاج المقسى، العشب الصناعي، الإنارة الاحترافية).</w:t>
      </w:r>
    </w:p>
    <w:p>
      <w:pPr>
        <w:pStyle w:val="ListParagraph"/>
        <w:numPr>
          <w:ilvl w:val="0"/>
          <w:numId w:val="2"/>
        </w:numPr>
        <w:bidi/>
        <w:spacing w:after="40" w:before="40" w:line="320"/>
        <w:jc w:val="right"/>
      </w:pPr>
      <w:r>
        <w:rPr>
          <w:rFonts w:ascii="Arial" w:cs="Arial" w:eastAsia="Arial" w:hAnsi="Arial"/>
          <w:sz w:val="24"/>
          <w:szCs w:val="24"/>
          <w:rtl/>
        </w:rPr>
        <w:t xml:space="preserve">تجهيز معدات البولينغ والمسارات وأنظمة الـ scoring.</w:t>
      </w:r>
    </w:p>
    <w:p>
      <w:pPr>
        <w:pStyle w:val="ListParagraph"/>
        <w:numPr>
          <w:ilvl w:val="0"/>
          <w:numId w:val="2"/>
        </w:numPr>
        <w:bidi/>
        <w:spacing w:after="40" w:before="40" w:line="320"/>
        <w:jc w:val="right"/>
      </w:pPr>
      <w:r>
        <w:rPr>
          <w:rFonts w:ascii="Arial" w:cs="Arial" w:eastAsia="Arial" w:hAnsi="Arial"/>
          <w:sz w:val="24"/>
          <w:szCs w:val="24"/>
          <w:rtl/>
        </w:rPr>
        <w:t xml:space="preserve">معدات الكافيه والمطعم وأنظمة التبريد والتجهيزات التشغيلية.</w:t>
      </w:r>
    </w:p>
    <w:p>
      <w:pPr>
        <w:pStyle w:val="ListParagraph"/>
        <w:numPr>
          <w:ilvl w:val="0"/>
          <w:numId w:val="2"/>
        </w:numPr>
        <w:bidi/>
        <w:spacing w:after="40" w:before="40" w:line="320"/>
        <w:jc w:val="right"/>
      </w:pPr>
      <w:r>
        <w:rPr>
          <w:rFonts w:ascii="Arial" w:cs="Arial" w:eastAsia="Arial" w:hAnsi="Arial"/>
          <w:sz w:val="24"/>
          <w:szCs w:val="24"/>
          <w:rtl/>
        </w:rPr>
        <w:t xml:space="preserve">منظومة الكاميرات المتقدمة و DVR.</w:t>
      </w:r>
    </w:p>
    <w:p>
      <w:pPr>
        <w:pStyle w:val="ListParagraph"/>
        <w:numPr>
          <w:ilvl w:val="0"/>
          <w:numId w:val="2"/>
        </w:numPr>
        <w:bidi/>
        <w:spacing w:after="40" w:before="40" w:line="320"/>
        <w:jc w:val="right"/>
      </w:pPr>
      <w:r>
        <w:rPr>
          <w:rFonts w:ascii="Arial" w:cs="Arial" w:eastAsia="Arial" w:hAnsi="Arial"/>
          <w:sz w:val="24"/>
          <w:szCs w:val="24"/>
          <w:rtl/>
        </w:rPr>
        <w:t xml:space="preserve">الإنارة الاحترافية للملاعب (Floodlights قوية).</w:t>
      </w:r>
    </w:p>
    <w:p>
      <w:pPr>
        <w:pStyle w:val="ListParagraph"/>
        <w:numPr>
          <w:ilvl w:val="0"/>
          <w:numId w:val="2"/>
        </w:numPr>
        <w:bidi/>
        <w:spacing w:after="40" w:before="40" w:line="320"/>
        <w:jc w:val="right"/>
      </w:pPr>
      <w:r>
        <w:rPr>
          <w:rFonts w:ascii="Arial" w:cs="Arial" w:eastAsia="Arial" w:hAnsi="Arial"/>
          <w:sz w:val="24"/>
          <w:szCs w:val="24"/>
          <w:rtl/>
        </w:rPr>
        <w:t xml:space="preserve">المظلات الكبيرة والهياكل الثقيلة المعدنية.</w:t>
      </w:r>
    </w:p>
    <w:p>
      <w:pPr>
        <w:pStyle w:val="ListParagraph"/>
        <w:numPr>
          <w:ilvl w:val="0"/>
          <w:numId w:val="2"/>
        </w:numPr>
        <w:bidi/>
        <w:spacing w:after="40" w:before="40" w:line="320"/>
        <w:jc w:val="right"/>
      </w:pPr>
      <w:r>
        <w:rPr>
          <w:rFonts w:ascii="Arial" w:cs="Arial" w:eastAsia="Arial" w:hAnsi="Arial"/>
          <w:sz w:val="24"/>
          <w:szCs w:val="24"/>
          <w:rtl/>
        </w:rPr>
        <w:t xml:space="preserve">الصحيات المعقدة بتجهيزات صحية كاملة.</w:t>
      </w:r>
    </w:p>
    <w:p>
      <w:pPr>
        <w:pStyle w:val="ListParagraph"/>
        <w:numPr>
          <w:ilvl w:val="0"/>
          <w:numId w:val="2"/>
        </w:numPr>
        <w:bidi/>
        <w:spacing w:after="40" w:before="40" w:line="320"/>
        <w:jc w:val="right"/>
      </w:pPr>
      <w:r>
        <w:rPr>
          <w:rFonts w:ascii="Arial" w:cs="Arial" w:eastAsia="Arial" w:hAnsi="Arial"/>
          <w:sz w:val="24"/>
          <w:szCs w:val="24"/>
          <w:rtl/>
        </w:rPr>
        <w:t xml:space="preserve">التصاميم المعمارية والإنشائية والكهربائية النهائية.</w:t>
      </w:r>
    </w:p>
    <w:p>
      <w:pPr>
        <w:pStyle w:val="ListParagraph"/>
        <w:numPr>
          <w:ilvl w:val="0"/>
          <w:numId w:val="2"/>
        </w:numPr>
        <w:bidi/>
        <w:spacing w:after="40" w:before="40" w:line="320"/>
        <w:jc w:val="right"/>
      </w:pPr>
      <w:r>
        <w:rPr>
          <w:rFonts w:ascii="Arial" w:cs="Arial" w:eastAsia="Arial" w:hAnsi="Arial"/>
          <w:sz w:val="24"/>
          <w:szCs w:val="24"/>
          <w:rtl/>
        </w:rPr>
        <w:t xml:space="preserve">الفحوصات والضمانات وشهادات السلامة.</w:t>
      </w:r>
    </w:p>
    <w:p>
      <w:pPr>
        <w:pStyle w:val="Heading2"/>
        <w:bidi/>
        <w:spacing w:after="140" w:before="240"/>
        <w:jc w:val="right"/>
      </w:pPr>
      <w:r>
        <w:rPr>
          <w:rFonts w:ascii="Arial" w:cs="Arial" w:eastAsia="Arial" w:hAnsi="Arial"/>
          <w:b/>
          <w:bCs/>
          <w:color w:val="2E75B6"/>
          <w:sz w:val="30"/>
          <w:szCs w:val="30"/>
          <w:rtl/>
        </w:rPr>
        <w:t xml:space="preserve">10.4 نسب التخفيض الممكنة من كل بند</w:t>
      </w:r>
    </w:p>
    <w:p>
      <w:pPr>
        <w:bidi/>
        <w:spacing w:after="80" w:before="80" w:line="360"/>
        <w:jc w:val="both"/>
      </w:pPr>
      <w:r>
        <w:rPr>
          <w:rFonts w:ascii="Arial" w:cs="Arial" w:eastAsia="Arial" w:hAnsi="Arial"/>
          <w:b w:val="false"/>
          <w:bCs w:val="false"/>
          <w:color w:val="000000"/>
          <w:sz w:val="24"/>
          <w:szCs w:val="24"/>
          <w:rtl/>
        </w:rPr>
        <w:t xml:space="preserve">نتيجة لمساهمة كوادر شعبة تجميل المدينة في الأعمال أعلاه، يُمكن تخفيض كلفة كل بند بنسبة معيّنة عن السعر السوقي للمقاولة الكاملة. الجدول التالي يلخّص نسب التخفيض المتوقَّعة لكل بند: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البند</w:t>
            </w:r>
          </w:p>
        </w:tc>
        <w:tc>
          <w:tcPr>
            <w:tcW w:type="dxa" w:w="386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نسبة التخفيض الممكنة</w:t>
            </w:r>
          </w:p>
        </w:tc>
      </w:tr>
      <w:tr>
        <w:tc>
          <w:tcPr>
            <w:tcW w:type="dxa" w:w="55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التشجير + المساحات الخضراء</w:t>
            </w:r>
          </w:p>
        </w:tc>
        <w:tc>
          <w:tcPr>
            <w:tcW w:type="dxa" w:w="38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30% – 50%</w:t>
            </w:r>
          </w:p>
        </w:tc>
      </w:tr>
      <w:tr>
        <w:tc>
          <w:tcPr>
            <w:tcW w:type="dxa" w:w="55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الممرات والأرضيات</w:t>
            </w:r>
          </w:p>
        </w:tc>
        <w:tc>
          <w:tcPr>
            <w:tcW w:type="dxa" w:w="38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20% – 40%</w:t>
            </w:r>
          </w:p>
        </w:tc>
      </w:tr>
      <w:tr>
        <w:tc>
          <w:tcPr>
            <w:tcW w:type="dxa" w:w="55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المسقفات الخفيفة</w:t>
            </w:r>
          </w:p>
        </w:tc>
        <w:tc>
          <w:tcPr>
            <w:tcW w:type="dxa" w:w="38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15% – 35%</w:t>
            </w:r>
          </w:p>
        </w:tc>
      </w:tr>
      <w:tr>
        <w:tc>
          <w:tcPr>
            <w:tcW w:type="dxa" w:w="55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الإنارة العامة (غير الملعب)</w:t>
            </w:r>
          </w:p>
        </w:tc>
        <w:tc>
          <w:tcPr>
            <w:tcW w:type="dxa" w:w="38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15% – 30%</w:t>
            </w:r>
          </w:p>
        </w:tc>
      </w:tr>
      <w:tr>
        <w:tc>
          <w:tcPr>
            <w:tcW w:type="dxa" w:w="55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الماء والري والصرف البسيط</w:t>
            </w:r>
          </w:p>
        </w:tc>
        <w:tc>
          <w:tcPr>
            <w:tcW w:type="dxa" w:w="38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20% – 35%</w:t>
            </w:r>
          </w:p>
        </w:tc>
      </w:tr>
      <w:tr>
        <w:tc>
          <w:tcPr>
            <w:tcW w:type="dxa" w:w="55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التنظيف والتسوية والتحضير</w:t>
            </w:r>
          </w:p>
        </w:tc>
        <w:tc>
          <w:tcPr>
            <w:tcW w:type="dxa" w:w="38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30% – 60%</w:t>
            </w:r>
          </w:p>
        </w:tc>
      </w:tr>
      <w:tr>
        <w:tc>
          <w:tcPr>
            <w:tcW w:type="dxa" w:w="55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الصبغ والديكور البسيط</w:t>
            </w:r>
          </w:p>
        </w:tc>
        <w:tc>
          <w:tcPr>
            <w:tcW w:type="dxa" w:w="38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30% – 50%</w:t>
            </w:r>
          </w:p>
        </w:tc>
      </w:tr>
      <w:tr>
        <w:tc>
          <w:tcPr>
            <w:tcW w:type="dxa" w:w="55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النصب اليدوي والجلسات</w:t>
            </w:r>
          </w:p>
        </w:tc>
        <w:tc>
          <w:tcPr>
            <w:tcW w:type="dxa" w:w="38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25% – 45%</w:t>
            </w:r>
          </w:p>
        </w:tc>
      </w:tr>
      <w:tr>
        <w:tc>
          <w:tcPr>
            <w:tcW w:type="dxa" w:w="55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ملعب البادل (تكلفة المعدات تبقى ثابتة)</w:t>
            </w:r>
          </w:p>
        </w:tc>
        <w:tc>
          <w:tcPr>
            <w:tcW w:type="dxa" w:w="38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5% – 15% فقط</w:t>
            </w:r>
          </w:p>
        </w:tc>
      </w:tr>
      <w:tr>
        <w:tc>
          <w:tcPr>
            <w:tcW w:type="dxa" w:w="55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البولينغ (المعدات تبقى ثابتة)</w:t>
            </w:r>
          </w:p>
        </w:tc>
        <w:tc>
          <w:tcPr>
            <w:tcW w:type="dxa" w:w="38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0% – 10% فقط</w:t>
            </w:r>
          </w:p>
        </w:tc>
      </w:tr>
      <w:tr>
        <w:tc>
          <w:tcPr>
            <w:tcW w:type="dxa" w:w="55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الكافيه + المطعم</w:t>
            </w:r>
          </w:p>
        </w:tc>
        <w:tc>
          <w:tcPr>
            <w:tcW w:type="dxa" w:w="38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10% – 25%</w:t>
            </w:r>
          </w:p>
        </w:tc>
      </w:tr>
    </w:tbl>
    <w:p>
      <w:pPr>
        <w:pStyle w:val="Heading1"/>
        <w:pageBreakBefore/>
        <w:bidi/>
        <w:spacing w:after="200" w:before="360"/>
        <w:jc w:val="right"/>
      </w:pPr>
      <w:r>
        <w:rPr>
          <w:rFonts w:ascii="Arial" w:cs="Arial" w:eastAsia="Arial" w:hAnsi="Arial"/>
          <w:b/>
          <w:bCs/>
          <w:color w:val="1F4E79"/>
          <w:sz w:val="36"/>
          <w:szCs w:val="36"/>
          <w:rtl/>
        </w:rPr>
        <w:t xml:space="preserve">11. الأعمال التخصصية ودور الورش المحلية المساندة</w:t>
      </w:r>
    </w:p>
    <w:p>
      <w:pPr>
        <w:pStyle w:val="Heading2"/>
        <w:bidi/>
        <w:spacing w:after="140" w:before="240"/>
        <w:jc w:val="right"/>
      </w:pPr>
      <w:r>
        <w:rPr>
          <w:rFonts w:ascii="Arial" w:cs="Arial" w:eastAsia="Arial" w:hAnsi="Arial"/>
          <w:b/>
          <w:bCs/>
          <w:color w:val="2E75B6"/>
          <w:sz w:val="30"/>
          <w:szCs w:val="30"/>
          <w:rtl/>
        </w:rPr>
        <w:t xml:space="preserve">11.1 المنطلق</w:t>
      </w:r>
    </w:p>
    <w:p>
      <w:pPr>
        <w:bidi/>
        <w:spacing w:after="80" w:before="80" w:line="360"/>
        <w:jc w:val="both"/>
      </w:pPr>
      <w:r>
        <w:rPr>
          <w:rFonts w:ascii="Arial" w:cs="Arial" w:eastAsia="Arial" w:hAnsi="Arial"/>
          <w:b w:val="false"/>
          <w:bCs w:val="false"/>
          <w:color w:val="000000"/>
          <w:sz w:val="24"/>
          <w:szCs w:val="24"/>
          <w:rtl/>
        </w:rPr>
        <w:t xml:space="preserve">ثمّة فقرات في المشروع لا تنفّذها كوادر البلدية بالضرورة (لأنها تخصصية أو لأنها تتطلب معدات وخبرات غير نمطية)، كما أنها لا تستلزم استيراداً خارجياً مكلفاً. هذه الفقرات تمثّل فرصة جيدة لإحالتها إلى ورش محلية متخصصة داخل المحافظة، وفق الضوابط والتعليمات النافذة، بما يدعم الاقتصاد المحلي ويُسرّع التنفيذ.</w:t>
      </w:r>
    </w:p>
    <w:p>
      <w:pPr>
        <w:pStyle w:val="Heading2"/>
        <w:bidi/>
        <w:spacing w:after="140" w:before="240"/>
        <w:jc w:val="right"/>
      </w:pPr>
      <w:r>
        <w:rPr>
          <w:rFonts w:ascii="Arial" w:cs="Arial" w:eastAsia="Arial" w:hAnsi="Arial"/>
          <w:b/>
          <w:bCs/>
          <w:color w:val="2E75B6"/>
          <w:sz w:val="30"/>
          <w:szCs w:val="30"/>
          <w:rtl/>
        </w:rPr>
        <w:t xml:space="preserve">11.2 الأعمال التي يفضّل إحالتها للورش المحلية</w:t>
      </w:r>
    </w:p>
    <w:p>
      <w:pPr>
        <w:pStyle w:val="ListParagraph"/>
        <w:numPr>
          <w:ilvl w:val="0"/>
          <w:numId w:val="2"/>
        </w:numPr>
        <w:bidi/>
        <w:spacing w:after="40" w:before="40" w:line="320"/>
        <w:jc w:val="right"/>
      </w:pPr>
      <w:r>
        <w:rPr>
          <w:rFonts w:ascii="Arial" w:cs="Arial" w:eastAsia="Arial" w:hAnsi="Arial"/>
          <w:sz w:val="24"/>
          <w:szCs w:val="24"/>
          <w:rtl/>
        </w:rPr>
        <w:t xml:space="preserve">لوحات الإرشاد الداخلية والخارجية للموقع (Wayfinding) بمختلف أحجامها.</w:t>
      </w:r>
    </w:p>
    <w:p>
      <w:pPr>
        <w:pStyle w:val="ListParagraph"/>
        <w:numPr>
          <w:ilvl w:val="0"/>
          <w:numId w:val="2"/>
        </w:numPr>
        <w:bidi/>
        <w:spacing w:after="40" w:before="40" w:line="320"/>
        <w:jc w:val="right"/>
      </w:pPr>
      <w:r>
        <w:rPr>
          <w:rFonts w:ascii="Arial" w:cs="Arial" w:eastAsia="Arial" w:hAnsi="Arial"/>
          <w:sz w:val="24"/>
          <w:szCs w:val="24"/>
          <w:rtl/>
        </w:rPr>
        <w:t xml:space="preserve">الهوية البصرية للمشروع: شعار، ألوان، تطبيقات على اللوحات والديكورات والمواقف والصحيات.</w:t>
      </w:r>
    </w:p>
    <w:p>
      <w:pPr>
        <w:pStyle w:val="ListParagraph"/>
        <w:numPr>
          <w:ilvl w:val="0"/>
          <w:numId w:val="2"/>
        </w:numPr>
        <w:bidi/>
        <w:spacing w:after="40" w:before="40" w:line="320"/>
        <w:jc w:val="right"/>
      </w:pPr>
      <w:r>
        <w:rPr>
          <w:rFonts w:ascii="Arial" w:cs="Arial" w:eastAsia="Arial" w:hAnsi="Arial"/>
          <w:sz w:val="24"/>
          <w:szCs w:val="24"/>
          <w:rtl/>
        </w:rPr>
        <w:t xml:space="preserve">ديكورات الكافيه والمطعم: واجهة، عداد، لمسات داخلية بسيطة.</w:t>
      </w:r>
    </w:p>
    <w:p>
      <w:pPr>
        <w:pStyle w:val="ListParagraph"/>
        <w:numPr>
          <w:ilvl w:val="0"/>
          <w:numId w:val="2"/>
        </w:numPr>
        <w:bidi/>
        <w:spacing w:after="40" w:before="40" w:line="320"/>
        <w:jc w:val="right"/>
      </w:pPr>
      <w:r>
        <w:rPr>
          <w:rFonts w:ascii="Arial" w:cs="Arial" w:eastAsia="Arial" w:hAnsi="Arial"/>
          <w:sz w:val="24"/>
          <w:szCs w:val="24"/>
          <w:rtl/>
        </w:rPr>
        <w:t xml:space="preserve">الجلسات المخصصة (Custom Benches): تصاميم خاصة بالمشروع لا تتوفر جاهزة.</w:t>
      </w:r>
    </w:p>
    <w:p>
      <w:pPr>
        <w:pStyle w:val="ListParagraph"/>
        <w:numPr>
          <w:ilvl w:val="0"/>
          <w:numId w:val="2"/>
        </w:numPr>
        <w:bidi/>
        <w:spacing w:after="40" w:before="40" w:line="320"/>
        <w:jc w:val="right"/>
      </w:pPr>
      <w:r>
        <w:rPr>
          <w:rFonts w:ascii="Arial" w:cs="Arial" w:eastAsia="Arial" w:hAnsi="Arial"/>
          <w:sz w:val="24"/>
          <w:szCs w:val="24"/>
          <w:rtl/>
        </w:rPr>
        <w:t xml:space="preserve">عناصر التجميل الحضري: قواطع ديكورية، حروف بارزة، عناصر فنية بصرية.</w:t>
      </w:r>
    </w:p>
    <w:p>
      <w:pPr>
        <w:pStyle w:val="ListParagraph"/>
        <w:numPr>
          <w:ilvl w:val="0"/>
          <w:numId w:val="2"/>
        </w:numPr>
        <w:bidi/>
        <w:spacing w:after="40" w:before="40" w:line="320"/>
        <w:jc w:val="right"/>
      </w:pPr>
      <w:r>
        <w:rPr>
          <w:rFonts w:ascii="Arial" w:cs="Arial" w:eastAsia="Arial" w:hAnsi="Arial"/>
          <w:sz w:val="24"/>
          <w:szCs w:val="24"/>
          <w:rtl/>
        </w:rPr>
        <w:t xml:space="preserve">مواقف الدراجات بتصميم خاص بالمشروع، أو شعار البلدية.</w:t>
      </w:r>
    </w:p>
    <w:p>
      <w:pPr>
        <w:pStyle w:val="ListParagraph"/>
        <w:numPr>
          <w:ilvl w:val="0"/>
          <w:numId w:val="2"/>
        </w:numPr>
        <w:bidi/>
        <w:spacing w:after="40" w:before="40" w:line="320"/>
        <w:jc w:val="right"/>
      </w:pPr>
      <w:r>
        <w:rPr>
          <w:rFonts w:ascii="Arial" w:cs="Arial" w:eastAsia="Arial" w:hAnsi="Arial"/>
          <w:sz w:val="24"/>
          <w:szCs w:val="24"/>
          <w:rtl/>
        </w:rPr>
        <w:t xml:space="preserve">قاعدة نافورة الشرب وتكسية معدنية.</w:t>
      </w:r>
    </w:p>
    <w:p>
      <w:pPr>
        <w:pStyle w:val="ListParagraph"/>
        <w:numPr>
          <w:ilvl w:val="0"/>
          <w:numId w:val="2"/>
        </w:numPr>
        <w:bidi/>
        <w:spacing w:after="40" w:before="40" w:line="320"/>
        <w:jc w:val="right"/>
      </w:pPr>
      <w:r>
        <w:rPr>
          <w:rFonts w:ascii="Arial" w:cs="Arial" w:eastAsia="Arial" w:hAnsi="Arial"/>
          <w:sz w:val="24"/>
          <w:szCs w:val="24"/>
          <w:rtl/>
        </w:rPr>
        <w:t xml:space="preserve">لوحات مسار الجري (لوحات عداد المسافة كل 50م، أو 100م).</w:t>
      </w:r>
    </w:p>
    <w:p>
      <w:pPr>
        <w:pStyle w:val="ListParagraph"/>
        <w:numPr>
          <w:ilvl w:val="0"/>
          <w:numId w:val="2"/>
        </w:numPr>
        <w:bidi/>
        <w:spacing w:after="40" w:before="40" w:line="320"/>
        <w:jc w:val="right"/>
      </w:pPr>
      <w:r>
        <w:rPr>
          <w:rFonts w:ascii="Arial" w:cs="Arial" w:eastAsia="Arial" w:hAnsi="Arial"/>
          <w:sz w:val="24"/>
          <w:szCs w:val="24"/>
          <w:rtl/>
        </w:rPr>
        <w:t xml:space="preserve">لوحات تعريف ملاعب البادل والبولينغ.</w:t>
      </w:r>
    </w:p>
    <w:p>
      <w:pPr>
        <w:pStyle w:val="ListParagraph"/>
        <w:numPr>
          <w:ilvl w:val="0"/>
          <w:numId w:val="2"/>
        </w:numPr>
        <w:bidi/>
        <w:spacing w:after="40" w:before="40" w:line="320"/>
        <w:jc w:val="right"/>
      </w:pPr>
      <w:r>
        <w:rPr>
          <w:rFonts w:ascii="Arial" w:cs="Arial" w:eastAsia="Arial" w:hAnsi="Arial"/>
          <w:sz w:val="24"/>
          <w:szCs w:val="24"/>
          <w:rtl/>
        </w:rPr>
        <w:t xml:space="preserve">ديكورات داخلية بسيطة للبولينغ (إن لزمت).</w:t>
      </w:r>
    </w:p>
    <w:p>
      <w:pPr>
        <w:pStyle w:val="ListParagraph"/>
        <w:numPr>
          <w:ilvl w:val="0"/>
          <w:numId w:val="2"/>
        </w:numPr>
        <w:bidi/>
        <w:spacing w:after="40" w:before="40" w:line="320"/>
        <w:jc w:val="right"/>
      </w:pPr>
      <w:r>
        <w:rPr>
          <w:rFonts w:ascii="Arial" w:cs="Arial" w:eastAsia="Arial" w:hAnsi="Arial"/>
          <w:sz w:val="24"/>
          <w:szCs w:val="24"/>
          <w:rtl/>
        </w:rPr>
        <w:t xml:space="preserve">التصوير والعرض وتوثيق المشروع لأرشيف البلدية.</w:t>
      </w:r>
    </w:p>
    <w:p>
      <w:pPr>
        <w:pStyle w:val="ListParagraph"/>
        <w:numPr>
          <w:ilvl w:val="0"/>
          <w:numId w:val="2"/>
        </w:numPr>
        <w:bidi/>
        <w:spacing w:after="40" w:before="40" w:line="320"/>
        <w:jc w:val="right"/>
      </w:pPr>
      <w:r>
        <w:rPr>
          <w:rFonts w:ascii="Arial" w:cs="Arial" w:eastAsia="Arial" w:hAnsi="Arial"/>
          <w:sz w:val="24"/>
          <w:szCs w:val="24"/>
          <w:rtl/>
        </w:rPr>
        <w:t xml:space="preserve">أعمال CNC وقص الليزر والفايبر للوحات والقواطع.</w:t>
      </w:r>
    </w:p>
    <w:p>
      <w:pPr>
        <w:pStyle w:val="ListParagraph"/>
        <w:numPr>
          <w:ilvl w:val="0"/>
          <w:numId w:val="2"/>
        </w:numPr>
        <w:bidi/>
        <w:spacing w:after="40" w:before="40" w:line="320"/>
        <w:jc w:val="right"/>
      </w:pPr>
      <w:r>
        <w:rPr>
          <w:rFonts w:ascii="Arial" w:cs="Arial" w:eastAsia="Arial" w:hAnsi="Arial"/>
          <w:sz w:val="24"/>
          <w:szCs w:val="24"/>
          <w:rtl/>
        </w:rPr>
        <w:t xml:space="preserve">أعمال الأكريليك والخشب والمعادن الخفيفة.</w:t>
      </w:r>
    </w:p>
    <w:p>
      <w:pPr>
        <w:pStyle w:val="ListParagraph"/>
        <w:numPr>
          <w:ilvl w:val="0"/>
          <w:numId w:val="2"/>
        </w:numPr>
        <w:bidi/>
        <w:spacing w:after="40" w:before="40" w:line="320"/>
        <w:jc w:val="right"/>
      </w:pPr>
      <w:r>
        <w:rPr>
          <w:rFonts w:ascii="Arial" w:cs="Arial" w:eastAsia="Arial" w:hAnsi="Arial"/>
          <w:sz w:val="24"/>
          <w:szCs w:val="24"/>
          <w:rtl/>
        </w:rPr>
        <w:t xml:space="preserve">المجسّمات البسيطة في المساحات الخضراء (إن لزمت).</w:t>
      </w:r>
    </w:p>
    <w:p>
      <w:pPr>
        <w:pStyle w:val="Heading2"/>
        <w:bidi/>
        <w:spacing w:after="140" w:before="240"/>
        <w:jc w:val="right"/>
      </w:pPr>
      <w:r>
        <w:rPr>
          <w:rFonts w:ascii="Arial" w:cs="Arial" w:eastAsia="Arial" w:hAnsi="Arial"/>
          <w:b/>
          <w:bCs/>
          <w:color w:val="2E75B6"/>
          <w:sz w:val="30"/>
          <w:szCs w:val="30"/>
          <w:rtl/>
        </w:rPr>
        <w:t xml:space="preserve">11.3 لماذا الورش المحلية؟</w:t>
      </w:r>
    </w:p>
    <w:p>
      <w:pPr>
        <w:pStyle w:val="ListParagraph"/>
        <w:numPr>
          <w:ilvl w:val="0"/>
          <w:numId w:val="5"/>
        </w:numPr>
        <w:bidi/>
        <w:spacing w:after="40" w:before="40" w:line="320"/>
        <w:jc w:val="right"/>
      </w:pPr>
      <w:r>
        <w:rPr>
          <w:rFonts w:ascii="Arial" w:cs="Arial" w:eastAsia="Arial" w:hAnsi="Arial"/>
          <w:sz w:val="24"/>
          <w:szCs w:val="24"/>
          <w:rtl/>
        </w:rPr>
        <w:t xml:space="preserve">تخفيض الكلفة: الورش المحلية أقل كلفة من الشركات الخارجية الكبرى أو الاستيراد المباشر، ولا تحمل عبء النقل والكمارك.</w:t>
      </w:r>
    </w:p>
    <w:p>
      <w:pPr>
        <w:pStyle w:val="ListParagraph"/>
        <w:numPr>
          <w:ilvl w:val="0"/>
          <w:numId w:val="5"/>
        </w:numPr>
        <w:bidi/>
        <w:spacing w:after="40" w:before="40" w:line="320"/>
        <w:jc w:val="right"/>
      </w:pPr>
      <w:r>
        <w:rPr>
          <w:rFonts w:ascii="Arial" w:cs="Arial" w:eastAsia="Arial" w:hAnsi="Arial"/>
          <w:sz w:val="24"/>
          <w:szCs w:val="24"/>
          <w:rtl/>
        </w:rPr>
        <w:t xml:space="preserve">تسريع التنفيذ: التواجد المحلي يقلل دورات التسليم ويتيح مرونة في التعديلات الميدانية.</w:t>
      </w:r>
    </w:p>
    <w:p>
      <w:pPr>
        <w:pStyle w:val="ListParagraph"/>
        <w:numPr>
          <w:ilvl w:val="0"/>
          <w:numId w:val="5"/>
        </w:numPr>
        <w:bidi/>
        <w:spacing w:after="40" w:before="40" w:line="320"/>
        <w:jc w:val="right"/>
      </w:pPr>
      <w:r>
        <w:rPr>
          <w:rFonts w:ascii="Arial" w:cs="Arial" w:eastAsia="Arial" w:hAnsi="Arial"/>
          <w:sz w:val="24"/>
          <w:szCs w:val="24"/>
          <w:rtl/>
        </w:rPr>
        <w:t xml:space="preserve">دعم الاقتصاد المحلي: إحالة الأعمال داخل المحافظة يدعم الورش الصغيرة ويوفّر فرص عمل.</w:t>
      </w:r>
    </w:p>
    <w:p>
      <w:pPr>
        <w:pStyle w:val="ListParagraph"/>
        <w:numPr>
          <w:ilvl w:val="0"/>
          <w:numId w:val="5"/>
        </w:numPr>
        <w:bidi/>
        <w:spacing w:after="40" w:before="40" w:line="320"/>
        <w:jc w:val="right"/>
      </w:pPr>
      <w:r>
        <w:rPr>
          <w:rFonts w:ascii="Arial" w:cs="Arial" w:eastAsia="Arial" w:hAnsi="Arial"/>
          <w:sz w:val="24"/>
          <w:szCs w:val="24"/>
          <w:rtl/>
        </w:rPr>
        <w:t xml:space="preserve">ضمان الصيانة: الورش المحلية أسهل في التعاقد معها لأعمال الصيانة الدورية لاحقاً.</w:t>
      </w:r>
    </w:p>
    <w:p>
      <w:pPr>
        <w:pStyle w:val="ListParagraph"/>
        <w:numPr>
          <w:ilvl w:val="0"/>
          <w:numId w:val="5"/>
        </w:numPr>
        <w:bidi/>
        <w:spacing w:after="40" w:before="40" w:line="320"/>
        <w:jc w:val="right"/>
      </w:pPr>
      <w:r>
        <w:rPr>
          <w:rFonts w:ascii="Arial" w:cs="Arial" w:eastAsia="Arial" w:hAnsi="Arial"/>
          <w:sz w:val="24"/>
          <w:szCs w:val="24"/>
          <w:rtl/>
        </w:rPr>
        <w:t xml:space="preserve">التماشي مع الهوية المحلية: التصاميم المحلية تتسق مع ذوق المنطقة وحساسيتها البصرية.</w:t>
      </w:r>
    </w:p>
    <w:p>
      <w:pPr>
        <w:pStyle w:val="Heading2"/>
        <w:bidi/>
        <w:spacing w:after="140" w:before="240"/>
        <w:jc w:val="right"/>
      </w:pPr>
      <w:r>
        <w:rPr>
          <w:rFonts w:ascii="Arial" w:cs="Arial" w:eastAsia="Arial" w:hAnsi="Arial"/>
          <w:b/>
          <w:bCs/>
          <w:color w:val="2E75B6"/>
          <w:sz w:val="30"/>
          <w:szCs w:val="30"/>
          <w:rtl/>
        </w:rPr>
        <w:t xml:space="preserve">11.4 الصياغة المؤسساتية</w:t>
      </w:r>
    </w:p>
    <w:p>
      <w:pPr>
        <w:bidi/>
        <w:spacing w:after="80" w:before="80" w:line="360"/>
        <w:jc w:val="both"/>
      </w:pPr>
      <w:r>
        <w:rPr>
          <w:rFonts w:ascii="Arial" w:cs="Arial" w:eastAsia="Arial" w:hAnsi="Arial"/>
          <w:b w:val="false"/>
          <w:bCs w:val="false"/>
          <w:color w:val="000000"/>
          <w:sz w:val="24"/>
          <w:szCs w:val="24"/>
          <w:rtl/>
        </w:rPr>
        <w:t xml:space="preserve">يُتيح المشروع إمكانية إشراك الورش المحلية المتخصصة في تنفيذ بعض العناصر غير النمطية، وخصوصاً العناصر الديكورية واللوحات وأعمال CNC وأعمال الأكريليك والخشب والمعادن الخفيفة وتجهيزات الجلسات ومستلزمات الهوية البصرية. ويُسهم ذلك في تقليل الاعتماد على الشركات الخارجية، تخفيض الكلفة، تسريع التنفيذ، ودعم الأعمال المحلية داخل المحافظة، مع الالتزام الكامل بالضوابط والتعليمات الإدارية والمالية المعتمدة في البلدية، وعبر اللجان المختصة.</w:t>
      </w:r>
    </w:p>
    <w:p>
      <w:pPr>
        <w:pStyle w:val="Heading2"/>
        <w:bidi/>
        <w:spacing w:after="140" w:before="240"/>
        <w:jc w:val="right"/>
      </w:pPr>
      <w:r>
        <w:rPr>
          <w:rFonts w:ascii="Arial" w:cs="Arial" w:eastAsia="Arial" w:hAnsi="Arial"/>
          <w:b/>
          <w:bCs/>
          <w:color w:val="2E75B6"/>
          <w:sz w:val="30"/>
          <w:szCs w:val="30"/>
          <w:rtl/>
        </w:rPr>
        <w:t xml:space="preserve">11.5 آلية الإحالة المقترحة</w:t>
      </w:r>
    </w:p>
    <w:p>
      <w:pPr>
        <w:pStyle w:val="ListParagraph"/>
        <w:numPr>
          <w:ilvl w:val="0"/>
          <w:numId w:val="2"/>
        </w:numPr>
        <w:bidi/>
        <w:spacing w:after="40" w:before="40" w:line="320"/>
        <w:jc w:val="right"/>
      </w:pPr>
      <w:r>
        <w:rPr>
          <w:rFonts w:ascii="Arial" w:cs="Arial" w:eastAsia="Arial" w:hAnsi="Arial"/>
          <w:sz w:val="24"/>
          <w:szCs w:val="24"/>
          <w:rtl/>
        </w:rPr>
        <w:t xml:space="preserve">تُحدَّد الفقرات التخصصية بقائمة منفصلة بمواصفات وكميات واضحة.</w:t>
      </w:r>
    </w:p>
    <w:p>
      <w:pPr>
        <w:pStyle w:val="ListParagraph"/>
        <w:numPr>
          <w:ilvl w:val="0"/>
          <w:numId w:val="2"/>
        </w:numPr>
        <w:bidi/>
        <w:spacing w:after="40" w:before="40" w:line="320"/>
        <w:jc w:val="right"/>
      </w:pPr>
      <w:r>
        <w:rPr>
          <w:rFonts w:ascii="Arial" w:cs="Arial" w:eastAsia="Arial" w:hAnsi="Arial"/>
          <w:sz w:val="24"/>
          <w:szCs w:val="24"/>
          <w:rtl/>
        </w:rPr>
        <w:t xml:space="preserve">يتم استدراج عروض من الورش المحلية المؤهَّلة، وفق آليات الإسناد المعتمدة.</w:t>
      </w:r>
    </w:p>
    <w:p>
      <w:pPr>
        <w:pStyle w:val="ListParagraph"/>
        <w:numPr>
          <w:ilvl w:val="0"/>
          <w:numId w:val="2"/>
        </w:numPr>
        <w:bidi/>
        <w:spacing w:after="40" w:before="40" w:line="320"/>
        <w:jc w:val="right"/>
      </w:pPr>
      <w:r>
        <w:rPr>
          <w:rFonts w:ascii="Arial" w:cs="Arial" w:eastAsia="Arial" w:hAnsi="Arial"/>
          <w:sz w:val="24"/>
          <w:szCs w:val="24"/>
          <w:rtl/>
        </w:rPr>
        <w:t xml:space="preserve">يُكلَّف من الشعبة الفنية من يتابع جودة التنفيذ والتسليم.</w:t>
      </w:r>
    </w:p>
    <w:p>
      <w:pPr>
        <w:pStyle w:val="ListParagraph"/>
        <w:numPr>
          <w:ilvl w:val="0"/>
          <w:numId w:val="2"/>
        </w:numPr>
        <w:bidi/>
        <w:spacing w:after="40" w:before="40" w:line="320"/>
        <w:jc w:val="right"/>
      </w:pPr>
      <w:r>
        <w:rPr>
          <w:rFonts w:ascii="Arial" w:cs="Arial" w:eastAsia="Arial" w:hAnsi="Arial"/>
          <w:sz w:val="24"/>
          <w:szCs w:val="24"/>
          <w:rtl/>
        </w:rPr>
        <w:t xml:space="preserve">تُوثَّق الأعمال بصور ومحاضر تسليم رسمية ضمن أرشيف المشروع.</w:t>
      </w:r>
    </w:p>
    <w:p>
      <w:pPr>
        <w:pStyle w:val="Heading1"/>
        <w:pageBreakBefore/>
        <w:bidi/>
        <w:spacing w:after="200" w:before="360"/>
        <w:jc w:val="right"/>
      </w:pPr>
      <w:r>
        <w:rPr>
          <w:rFonts w:ascii="Arial" w:cs="Arial" w:eastAsia="Arial" w:hAnsi="Arial"/>
          <w:b/>
          <w:bCs/>
          <w:color w:val="1F4E79"/>
          <w:sz w:val="36"/>
          <w:szCs w:val="36"/>
          <w:rtl/>
        </w:rPr>
        <w:t xml:space="preserve">12. الكلف بعد مساهمة البلدية – الجداول النهائية</w:t>
      </w:r>
    </w:p>
    <w:p>
      <w:pPr>
        <w:pStyle w:val="Heading2"/>
        <w:bidi/>
        <w:spacing w:after="140" w:before="240"/>
        <w:jc w:val="right"/>
      </w:pPr>
      <w:r>
        <w:rPr>
          <w:rFonts w:ascii="Arial" w:cs="Arial" w:eastAsia="Arial" w:hAnsi="Arial"/>
          <w:b/>
          <w:bCs/>
          <w:color w:val="2E75B6"/>
          <w:sz w:val="30"/>
          <w:szCs w:val="30"/>
          <w:rtl/>
        </w:rPr>
        <w:t xml:space="preserve">12.1 المنهجية</w:t>
      </w:r>
    </w:p>
    <w:p>
      <w:pPr>
        <w:bidi/>
        <w:spacing w:after="80" w:before="80" w:line="360"/>
        <w:jc w:val="both"/>
      </w:pPr>
      <w:r>
        <w:rPr>
          <w:rFonts w:ascii="Arial" w:cs="Arial" w:eastAsia="Arial" w:hAnsi="Arial"/>
          <w:b w:val="false"/>
          <w:bCs w:val="false"/>
          <w:color w:val="000000"/>
          <w:sz w:val="24"/>
          <w:szCs w:val="24"/>
          <w:rtl/>
        </w:rPr>
        <w:t xml:space="preserve">تطبيق نسب التخفيض الواردة في القسم (10) على البنود في الجدولين السابقين يُنتج النطاقات السعرية الجديدة، التي تُمثّل الكلفة الفعلية المتوقَّعة للبلدية بعد احتساب مساهمة كوادر شعبة تجميل المدينة. هذه الأرقام تعطي صورة واقعية أكثر للقرار المالي.</w:t>
      </w:r>
    </w:p>
    <w:p>
      <w:pPr>
        <w:pStyle w:val="Heading2"/>
        <w:bidi/>
        <w:spacing w:after="140" w:before="240"/>
        <w:jc w:val="right"/>
      </w:pPr>
      <w:r>
        <w:rPr>
          <w:rFonts w:ascii="Arial" w:cs="Arial" w:eastAsia="Arial" w:hAnsi="Arial"/>
          <w:b/>
          <w:bCs/>
          <w:color w:val="2E75B6"/>
          <w:sz w:val="30"/>
          <w:szCs w:val="30"/>
          <w:rtl/>
        </w:rPr>
        <w:t xml:space="preserve">12.2 الكلف بعد المساهمة – الخيار الأول (500 م²)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20"/>
        <w:gridCol w:w="2620"/>
        <w:gridCol w:w="2320"/>
      </w:tblGrid>
      <w:tr>
        <w:trPr>
          <w:tblHeader/>
        </w:trPr>
        <w:tc>
          <w:tcPr>
            <w:tcW w:type="dxa" w:w="180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الدرجة</w:t>
            </w:r>
          </w:p>
        </w:tc>
        <w:tc>
          <w:tcPr>
            <w:tcW w:type="dxa" w:w="262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الكلفة قبل المساهمة (مليون د.ع)</w:t>
            </w:r>
          </w:p>
        </w:tc>
        <w:tc>
          <w:tcPr>
            <w:tcW w:type="dxa" w:w="262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الكلفة بعد المساهمة (مليون د.ع)</w:t>
            </w:r>
          </w:p>
        </w:tc>
        <w:tc>
          <w:tcPr>
            <w:tcW w:type="dxa" w:w="232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نسبة الوفر</w:t>
            </w:r>
          </w:p>
        </w:tc>
      </w:tr>
      <w:tr>
        <w:tc>
          <w:tcPr>
            <w:tcW w:type="dxa" w:w="18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اقتصادي</w:t>
            </w:r>
          </w:p>
        </w:tc>
        <w:tc>
          <w:tcPr>
            <w:tcW w:type="dxa" w:w="26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558</w:t>
            </w:r>
          </w:p>
        </w:tc>
        <w:tc>
          <w:tcPr>
            <w:tcW w:type="dxa" w:w="26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380 – 520</w:t>
            </w:r>
          </w:p>
        </w:tc>
        <w:tc>
          <w:tcPr>
            <w:tcW w:type="dxa" w:w="23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25% – 32%</w:t>
            </w:r>
          </w:p>
        </w:tc>
      </w:tr>
      <w:tr>
        <w:tc>
          <w:tcPr>
            <w:tcW w:type="dxa" w:w="18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قياسي</w:t>
            </w:r>
          </w:p>
        </w:tc>
        <w:tc>
          <w:tcPr>
            <w:tcW w:type="dxa" w:w="26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978</w:t>
            </w:r>
          </w:p>
        </w:tc>
        <w:tc>
          <w:tcPr>
            <w:tcW w:type="dxa" w:w="26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620 – 800</w:t>
            </w:r>
          </w:p>
        </w:tc>
        <w:tc>
          <w:tcPr>
            <w:tcW w:type="dxa" w:w="23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18% – 37%</w:t>
            </w:r>
          </w:p>
        </w:tc>
      </w:tr>
      <w:tr>
        <w:tc>
          <w:tcPr>
            <w:tcW w:type="dxa" w:w="18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فخم</w:t>
            </w:r>
          </w:p>
        </w:tc>
        <w:tc>
          <w:tcPr>
            <w:tcW w:type="dxa" w:w="26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1,595</w:t>
            </w:r>
          </w:p>
        </w:tc>
        <w:tc>
          <w:tcPr>
            <w:tcW w:type="dxa" w:w="26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1,050 – 1,300</w:t>
            </w:r>
          </w:p>
        </w:tc>
        <w:tc>
          <w:tcPr>
            <w:tcW w:type="dxa" w:w="23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18% – 34%</w:t>
            </w:r>
          </w:p>
        </w:tc>
      </w:tr>
    </w:tbl>
    <w:p>
      <w:pPr>
        <w:spacing w:after="200" w:before="200"/>
      </w:pPr>
    </w:p>
    <w:p>
      <w:pPr>
        <w:pStyle w:val="Heading2"/>
        <w:bidi/>
        <w:spacing w:after="140" w:before="240"/>
        <w:jc w:val="right"/>
      </w:pPr>
      <w:r>
        <w:rPr>
          <w:rFonts w:ascii="Arial" w:cs="Arial" w:eastAsia="Arial" w:hAnsi="Arial"/>
          <w:b/>
          <w:bCs/>
          <w:color w:val="2E75B6"/>
          <w:sz w:val="30"/>
          <w:szCs w:val="30"/>
          <w:rtl/>
        </w:rPr>
        <w:t xml:space="preserve">12.3 الكلف بعد المساهمة – الخيار الثاني (1000 م²)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20"/>
        <w:gridCol w:w="2620"/>
        <w:gridCol w:w="2320"/>
      </w:tblGrid>
      <w:tr>
        <w:trPr>
          <w:tblHeader/>
        </w:trPr>
        <w:tc>
          <w:tcPr>
            <w:tcW w:type="dxa" w:w="180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الدرجة</w:t>
            </w:r>
          </w:p>
        </w:tc>
        <w:tc>
          <w:tcPr>
            <w:tcW w:type="dxa" w:w="262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الكلفة قبل المساهمة (مليون د.ع)</w:t>
            </w:r>
          </w:p>
        </w:tc>
        <w:tc>
          <w:tcPr>
            <w:tcW w:type="dxa" w:w="262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الكلفة بعد المساهمة (مليون د.ع)</w:t>
            </w:r>
          </w:p>
        </w:tc>
        <w:tc>
          <w:tcPr>
            <w:tcW w:type="dxa" w:w="232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نسبة الوفر</w:t>
            </w:r>
          </w:p>
        </w:tc>
      </w:tr>
      <w:tr>
        <w:tc>
          <w:tcPr>
            <w:tcW w:type="dxa" w:w="18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اقتصادي</w:t>
            </w:r>
          </w:p>
        </w:tc>
        <w:tc>
          <w:tcPr>
            <w:tcW w:type="dxa" w:w="26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1,222</w:t>
            </w:r>
          </w:p>
        </w:tc>
        <w:tc>
          <w:tcPr>
            <w:tcW w:type="dxa" w:w="26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800 – 1,000</w:t>
            </w:r>
          </w:p>
        </w:tc>
        <w:tc>
          <w:tcPr>
            <w:tcW w:type="dxa" w:w="23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18% – 35%</w:t>
            </w:r>
          </w:p>
        </w:tc>
      </w:tr>
      <w:tr>
        <w:tc>
          <w:tcPr>
            <w:tcW w:type="dxa" w:w="18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قياسي</w:t>
            </w:r>
          </w:p>
        </w:tc>
        <w:tc>
          <w:tcPr>
            <w:tcW w:type="dxa" w:w="26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2,135</w:t>
            </w:r>
          </w:p>
        </w:tc>
        <w:tc>
          <w:tcPr>
            <w:tcW w:type="dxa" w:w="26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1,250 – 1,550</w:t>
            </w:r>
          </w:p>
        </w:tc>
        <w:tc>
          <w:tcPr>
            <w:tcW w:type="dxa" w:w="23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27% – 41%</w:t>
            </w:r>
          </w:p>
        </w:tc>
      </w:tr>
      <w:tr>
        <w:tc>
          <w:tcPr>
            <w:tcW w:type="dxa" w:w="18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فخم</w:t>
            </w:r>
          </w:p>
        </w:tc>
        <w:tc>
          <w:tcPr>
            <w:tcW w:type="dxa" w:w="26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3,540</w:t>
            </w:r>
          </w:p>
        </w:tc>
        <w:tc>
          <w:tcPr>
            <w:tcW w:type="dxa" w:w="26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2,150 – 2,600</w:t>
            </w:r>
          </w:p>
        </w:tc>
        <w:tc>
          <w:tcPr>
            <w:tcW w:type="dxa" w:w="23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27% – 39%</w:t>
            </w:r>
          </w:p>
        </w:tc>
      </w:tr>
    </w:tbl>
    <w:p>
      <w:pPr>
        <w:spacing w:after="200" w:before="200"/>
      </w:pPr>
    </w:p>
    <w:p>
      <w:pPr>
        <w:pStyle w:val="Heading2"/>
        <w:bidi/>
        <w:spacing w:after="140" w:before="240"/>
        <w:jc w:val="right"/>
      </w:pPr>
      <w:r>
        <w:rPr>
          <w:rFonts w:ascii="Arial" w:cs="Arial" w:eastAsia="Arial" w:hAnsi="Arial"/>
          <w:b/>
          <w:bCs/>
          <w:color w:val="2E75B6"/>
          <w:sz w:val="30"/>
          <w:szCs w:val="30"/>
          <w:rtl/>
        </w:rPr>
        <w:t xml:space="preserve">12.4 ملاحظات تفسيرية</w:t>
      </w:r>
    </w:p>
    <w:p>
      <w:pPr>
        <w:pStyle w:val="ListParagraph"/>
        <w:numPr>
          <w:ilvl w:val="0"/>
          <w:numId w:val="2"/>
        </w:numPr>
        <w:bidi/>
        <w:spacing w:after="40" w:before="40" w:line="320"/>
        <w:jc w:val="right"/>
      </w:pPr>
      <w:r>
        <w:rPr>
          <w:rFonts w:ascii="Arial" w:cs="Arial" w:eastAsia="Arial" w:hAnsi="Arial"/>
          <w:sz w:val="24"/>
          <w:szCs w:val="24"/>
          <w:rtl/>
        </w:rPr>
        <w:t xml:space="preserve">يُلاحظ أن الوفر في الخيار الثاني (1000 م²) أعلى نسبياً من الخيار الأول (500 م²)، نظراً لزيادة حصة البنود التي تُغطّيها كوادر البلدية (التشجير، الممرات، الإنارة، الجلسات، التسوية…).</w:t>
      </w:r>
    </w:p>
    <w:p>
      <w:pPr>
        <w:pStyle w:val="ListParagraph"/>
        <w:numPr>
          <w:ilvl w:val="0"/>
          <w:numId w:val="2"/>
        </w:numPr>
        <w:bidi/>
        <w:spacing w:after="40" w:before="40" w:line="320"/>
        <w:jc w:val="right"/>
      </w:pPr>
      <w:r>
        <w:rPr>
          <w:rFonts w:ascii="Arial" w:cs="Arial" w:eastAsia="Arial" w:hAnsi="Arial"/>
          <w:sz w:val="24"/>
          <w:szCs w:val="24"/>
          <w:rtl/>
        </w:rPr>
        <w:t xml:space="preserve">الوفر المتحقق ليس مجرد رقم؛ بل يعكس تحويل قيمة المقاولة إلى ساعات عمل بلدية، وهي قيمة مدفوعة أصلاً ضمن الميزانية التشغيلية للبلدية.</w:t>
      </w:r>
    </w:p>
    <w:p>
      <w:pPr>
        <w:pStyle w:val="ListParagraph"/>
        <w:numPr>
          <w:ilvl w:val="0"/>
          <w:numId w:val="2"/>
        </w:numPr>
        <w:bidi/>
        <w:spacing w:after="40" w:before="40" w:line="320"/>
        <w:jc w:val="right"/>
      </w:pPr>
      <w:r>
        <w:rPr>
          <w:rFonts w:ascii="Arial" w:cs="Arial" w:eastAsia="Arial" w:hAnsi="Arial"/>
          <w:sz w:val="24"/>
          <w:szCs w:val="24"/>
          <w:rtl/>
        </w:rPr>
        <w:t xml:space="preserve">هذه الأرقام تخمينية وقد تتباين قليلاً عند احتساب الكشف التفصيلي النهائي بحسب الموقع وأسعار السوق وقت التنفيذ.</w:t>
      </w:r>
    </w:p>
    <w:p>
      <w:pPr>
        <w:pStyle w:val="Heading1"/>
        <w:pageBreakBefore/>
        <w:bidi/>
        <w:spacing w:after="200" w:before="360"/>
        <w:jc w:val="right"/>
      </w:pPr>
      <w:r>
        <w:rPr>
          <w:rFonts w:ascii="Arial" w:cs="Arial" w:eastAsia="Arial" w:hAnsi="Arial"/>
          <w:b/>
          <w:bCs/>
          <w:color w:val="1F4E79"/>
          <w:sz w:val="36"/>
          <w:szCs w:val="36"/>
          <w:rtl/>
        </w:rPr>
        <w:t xml:space="preserve">13. المقارنة بين الخيارين والتوصية</w:t>
      </w:r>
    </w:p>
    <w:p>
      <w:pPr>
        <w:pStyle w:val="Heading2"/>
        <w:bidi/>
        <w:spacing w:after="140" w:before="240"/>
        <w:jc w:val="right"/>
      </w:pPr>
      <w:r>
        <w:rPr>
          <w:rFonts w:ascii="Arial" w:cs="Arial" w:eastAsia="Arial" w:hAnsi="Arial"/>
          <w:b/>
          <w:bCs/>
          <w:color w:val="2E75B6"/>
          <w:sz w:val="30"/>
          <w:szCs w:val="30"/>
          <w:rtl/>
        </w:rPr>
        <w:t xml:space="preserve">13.1 المقارنة العامة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880"/>
        <w:gridCol w:w="3120"/>
      </w:tblGrid>
      <w:tr>
        <w:trPr>
          <w:tblHeader/>
        </w:trPr>
        <w:tc>
          <w:tcPr>
            <w:tcW w:type="dxa" w:w="336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الجانب</w:t>
            </w:r>
          </w:p>
        </w:tc>
        <w:tc>
          <w:tcPr>
            <w:tcW w:type="dxa" w:w="288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الخيار الأول (500 م²)</w:t>
            </w:r>
          </w:p>
        </w:tc>
        <w:tc>
          <w:tcPr>
            <w:tcW w:type="dxa" w:w="312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الخيار الثاني (1000 م²)</w:t>
            </w:r>
          </w:p>
        </w:tc>
      </w:tr>
      <w:tr>
        <w:tc>
          <w:tcPr>
            <w:tcW w:type="dxa" w:w="336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right"/>
            </w:pPr>
            <w:r>
              <w:rPr>
                <w:rFonts w:ascii="Arial" w:cs="Arial" w:eastAsia="Arial" w:hAnsi="Arial"/>
                <w:b/>
                <w:bCs/>
                <w:color w:val="000000"/>
                <w:sz w:val="22"/>
                <w:szCs w:val="22"/>
                <w:rtl/>
              </w:rPr>
              <w:t xml:space="preserve">السعة الإجمالية</w:t>
            </w:r>
          </w:p>
        </w:tc>
        <w:tc>
          <w:tcPr>
            <w:tcW w:type="dxa" w:w="288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محدودة</w:t>
            </w:r>
          </w:p>
        </w:tc>
        <w:tc>
          <w:tcPr>
            <w:tcW w:type="dxa" w:w="312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واسعة وكاملة</w:t>
            </w:r>
          </w:p>
        </w:tc>
      </w:tr>
      <w:tr>
        <w:tc>
          <w:tcPr>
            <w:tcW w:type="dxa" w:w="33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الملاعب</w:t>
            </w:r>
          </w:p>
        </w:tc>
        <w:tc>
          <w:tcPr>
            <w:tcW w:type="dxa" w:w="288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ملعب بادل واحد</w:t>
            </w:r>
          </w:p>
        </w:tc>
        <w:tc>
          <w:tcPr>
            <w:tcW w:type="dxa" w:w="3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ملعبا بادل</w:t>
            </w:r>
          </w:p>
        </w:tc>
      </w:tr>
      <w:tr>
        <w:tc>
          <w:tcPr>
            <w:tcW w:type="dxa" w:w="33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البولينغ</w:t>
            </w:r>
          </w:p>
        </w:tc>
        <w:tc>
          <w:tcPr>
            <w:tcW w:type="dxa" w:w="288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 – 2 مسار مصغّر</w:t>
            </w:r>
          </w:p>
        </w:tc>
        <w:tc>
          <w:tcPr>
            <w:tcW w:type="dxa" w:w="3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 مسارات Compact</w:t>
            </w:r>
          </w:p>
        </w:tc>
      </w:tr>
      <w:tr>
        <w:tc>
          <w:tcPr>
            <w:tcW w:type="dxa" w:w="33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الكافيه/المطعم</w:t>
            </w:r>
          </w:p>
        </w:tc>
        <w:tc>
          <w:tcPr>
            <w:tcW w:type="dxa" w:w="288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كافيه صغير فقط</w:t>
            </w:r>
          </w:p>
        </w:tc>
        <w:tc>
          <w:tcPr>
            <w:tcW w:type="dxa" w:w="3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كافيه + مطعم عائلي</w:t>
            </w:r>
          </w:p>
        </w:tc>
      </w:tr>
      <w:tr>
        <w:tc>
          <w:tcPr>
            <w:tcW w:type="dxa" w:w="33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مسار الجري</w:t>
            </w:r>
          </w:p>
        </w:tc>
        <w:tc>
          <w:tcPr>
            <w:tcW w:type="dxa" w:w="288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غير متوفر</w:t>
            </w:r>
          </w:p>
        </w:tc>
        <w:tc>
          <w:tcPr>
            <w:tcW w:type="dxa" w:w="3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متوفر محيطي</w:t>
            </w:r>
          </w:p>
        </w:tc>
      </w:tr>
      <w:tr>
        <w:tc>
          <w:tcPr>
            <w:tcW w:type="dxa" w:w="33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الصحيات</w:t>
            </w:r>
          </w:p>
        </w:tc>
        <w:tc>
          <w:tcPr>
            <w:tcW w:type="dxa" w:w="288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بسيطة</w:t>
            </w:r>
          </w:p>
        </w:tc>
        <w:tc>
          <w:tcPr>
            <w:tcW w:type="dxa" w:w="3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مع تبديل ولوكرات</w:t>
            </w:r>
          </w:p>
        </w:tc>
      </w:tr>
      <w:tr>
        <w:tc>
          <w:tcPr>
            <w:tcW w:type="dxa" w:w="33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كلفة قياسية (قبل المساهمة)</w:t>
            </w:r>
          </w:p>
        </w:tc>
        <w:tc>
          <w:tcPr>
            <w:tcW w:type="dxa" w:w="288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978 مليون</w:t>
            </w:r>
          </w:p>
        </w:tc>
        <w:tc>
          <w:tcPr>
            <w:tcW w:type="dxa" w:w="3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2.135 مليار</w:t>
            </w:r>
          </w:p>
        </w:tc>
      </w:tr>
      <w:tr>
        <w:tc>
          <w:tcPr>
            <w:tcW w:type="dxa" w:w="33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كلفة قياسية (بعد المساهمة)</w:t>
            </w:r>
          </w:p>
        </w:tc>
        <w:tc>
          <w:tcPr>
            <w:tcW w:type="dxa" w:w="288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620–800 مليون</w:t>
            </w:r>
          </w:p>
        </w:tc>
        <w:tc>
          <w:tcPr>
            <w:tcW w:type="dxa" w:w="3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 1.25–1.55 مليار</w:t>
            </w:r>
          </w:p>
        </w:tc>
      </w:tr>
      <w:tr>
        <w:tc>
          <w:tcPr>
            <w:tcW w:type="dxa" w:w="33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مدة التنفيذ</w:t>
            </w:r>
          </w:p>
        </w:tc>
        <w:tc>
          <w:tcPr>
            <w:tcW w:type="dxa" w:w="288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5 – 7 أشهر</w:t>
            </w:r>
          </w:p>
        </w:tc>
        <w:tc>
          <w:tcPr>
            <w:tcW w:type="dxa" w:w="3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8 – 12 شهراً</w:t>
            </w:r>
          </w:p>
        </w:tc>
      </w:tr>
      <w:tr>
        <w:tc>
          <w:tcPr>
            <w:tcW w:type="dxa" w:w="33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الإيراد المتوقع</w:t>
            </w:r>
          </w:p>
        </w:tc>
        <w:tc>
          <w:tcPr>
            <w:tcW w:type="dxa" w:w="288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متوسط</w:t>
            </w:r>
          </w:p>
        </w:tc>
        <w:tc>
          <w:tcPr>
            <w:tcW w:type="dxa" w:w="312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مرتفع نسبياً</w:t>
            </w:r>
          </w:p>
        </w:tc>
      </w:tr>
      <w:tr>
        <w:tc>
          <w:tcPr>
            <w:tcW w:type="dxa" w:w="33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الأثر الحضري</w:t>
            </w:r>
          </w:p>
        </w:tc>
        <w:tc>
          <w:tcPr>
            <w:tcW w:type="dxa" w:w="288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موضعي</w:t>
            </w:r>
          </w:p>
        </w:tc>
        <w:tc>
          <w:tcPr>
            <w:tcW w:type="dxa" w:w="312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محوري ومرجعي</w:t>
            </w:r>
          </w:p>
        </w:tc>
      </w:tr>
    </w:tbl>
    <w:p>
      <w:pPr>
        <w:spacing w:after="200" w:before="200"/>
      </w:pPr>
    </w:p>
    <w:p>
      <w:pPr>
        <w:pStyle w:val="Heading2"/>
        <w:bidi/>
        <w:spacing w:after="140" w:before="240"/>
        <w:jc w:val="right"/>
      </w:pPr>
      <w:r>
        <w:rPr>
          <w:rFonts w:ascii="Arial" w:cs="Arial" w:eastAsia="Arial" w:hAnsi="Arial"/>
          <w:b/>
          <w:bCs/>
          <w:color w:val="2E75B6"/>
          <w:sz w:val="30"/>
          <w:szCs w:val="30"/>
          <w:rtl/>
        </w:rPr>
        <w:t xml:space="preserve">13.2 التوصية الفنية</w:t>
      </w:r>
    </w:p>
    <w:p>
      <w:pPr>
        <w:bidi/>
        <w:spacing w:after="80" w:before="80" w:line="360"/>
        <w:jc w:val="both"/>
      </w:pPr>
      <w:r>
        <w:rPr>
          <w:rFonts w:ascii="Arial" w:cs="Arial" w:eastAsia="Arial" w:hAnsi="Arial"/>
          <w:b w:val="false"/>
          <w:bCs w:val="false"/>
          <w:color w:val="000000"/>
          <w:sz w:val="24"/>
          <w:szCs w:val="24"/>
          <w:rtl/>
        </w:rPr>
        <w:t xml:space="preserve">بناءً على المقارنة أعلاه، يُمكن تلخيص التوصية الفنية الصادرة عن شعبة تجميل المدينة في النقاط التالية:</w:t>
      </w:r>
    </w:p>
    <w:p>
      <w:pPr>
        <w:pStyle w:val="ListParagraph"/>
        <w:numPr>
          <w:ilvl w:val="0"/>
          <w:numId w:val="6"/>
        </w:numPr>
        <w:bidi/>
        <w:spacing w:after="40" w:before="40" w:line="320"/>
        <w:jc w:val="right"/>
      </w:pPr>
      <w:r>
        <w:rPr>
          <w:rFonts w:ascii="Arial" w:cs="Arial" w:eastAsia="Arial" w:hAnsi="Arial"/>
          <w:sz w:val="24"/>
          <w:szCs w:val="24"/>
          <w:rtl/>
        </w:rPr>
        <w:t xml:space="preserve">الخيار الموصى به أساساً: مساحة 1000 م² بمواصفات قياسية، إذا توفّرت قطعة أرض بهذه المساحة في موقع ملائم، وتوفّرت ميزانية في حدود 1.25 – 1.55 مليار د.ع. هذا الخيار يمنح المحافظة مرفقاً عائلياً متكاملاً ذا قيمة مرجعية.</w:t>
      </w:r>
    </w:p>
    <w:p>
      <w:pPr>
        <w:pStyle w:val="ListParagraph"/>
        <w:numPr>
          <w:ilvl w:val="0"/>
          <w:numId w:val="6"/>
        </w:numPr>
        <w:bidi/>
        <w:spacing w:after="40" w:before="40" w:line="320"/>
        <w:jc w:val="right"/>
      </w:pPr>
      <w:r>
        <w:rPr>
          <w:rFonts w:ascii="Arial" w:cs="Arial" w:eastAsia="Arial" w:hAnsi="Arial"/>
          <w:sz w:val="24"/>
          <w:szCs w:val="24"/>
          <w:rtl/>
        </w:rPr>
        <w:t xml:space="preserve">الخيار البديل: مساحة 500 م² بمواصفات قياسية كمرحلة أولى، إذا اقتضت الميزانية أو المساحة. ويمكن لاحقاً توسعته إلى 1000 م² في مرحلة ثانية.</w:t>
      </w:r>
    </w:p>
    <w:p>
      <w:pPr>
        <w:pStyle w:val="ListParagraph"/>
        <w:numPr>
          <w:ilvl w:val="0"/>
          <w:numId w:val="6"/>
        </w:numPr>
        <w:bidi/>
        <w:spacing w:after="40" w:before="40" w:line="320"/>
        <w:jc w:val="right"/>
      </w:pPr>
      <w:r>
        <w:rPr>
          <w:rFonts w:ascii="Arial" w:cs="Arial" w:eastAsia="Arial" w:hAnsi="Arial"/>
          <w:sz w:val="24"/>
          <w:szCs w:val="24"/>
          <w:rtl/>
        </w:rPr>
        <w:t xml:space="preserve">التنفيذ المرحلي: في حال اعتماد الخيار الثاني، يمكن البدء بـ المرحلة الأولى (ملعبا بادل + كافيه + جلسات + تشجير + خدمات أساسية) خلال السنة الأولى، ثم إضافة المرحلة الثانية (البولينغ + المطعم الموسَّع + مسار الجري المكتمل) خلال السنة التالية، بما يُحلِّل كلفة المشروع على ميزانيتين متعاقبتين.</w:t>
      </w:r>
    </w:p>
    <w:p>
      <w:pPr>
        <w:pStyle w:val="ListParagraph"/>
        <w:numPr>
          <w:ilvl w:val="0"/>
          <w:numId w:val="6"/>
        </w:numPr>
        <w:bidi/>
        <w:spacing w:after="40" w:before="40" w:line="320"/>
        <w:jc w:val="right"/>
      </w:pPr>
      <w:r>
        <w:rPr>
          <w:rFonts w:ascii="Arial" w:cs="Arial" w:eastAsia="Arial" w:hAnsi="Arial"/>
          <w:sz w:val="24"/>
          <w:szCs w:val="24"/>
          <w:rtl/>
        </w:rPr>
        <w:t xml:space="preserve">اعتماد المواصفات القياسية وعدم الذهاب نحو الفخمة في المرحلة الأولى، لِما تحمله الفخمة من كلفة مرتفعة قد لا يبرّرها العائد التشغيلي بسرعة.</w:t>
      </w:r>
    </w:p>
    <w:p>
      <w:pPr>
        <w:pStyle w:val="Heading1"/>
        <w:pageBreakBefore/>
        <w:bidi/>
        <w:spacing w:after="200" w:before="360"/>
        <w:jc w:val="right"/>
      </w:pPr>
      <w:r>
        <w:rPr>
          <w:rFonts w:ascii="Arial" w:cs="Arial" w:eastAsia="Arial" w:hAnsi="Arial"/>
          <w:b/>
          <w:bCs/>
          <w:color w:val="1F4E79"/>
          <w:sz w:val="36"/>
          <w:szCs w:val="36"/>
          <w:rtl/>
        </w:rPr>
        <w:t xml:space="preserve">14. نموذج التشغيل والإيرادات المتوقعة</w:t>
      </w:r>
    </w:p>
    <w:p>
      <w:pPr>
        <w:pStyle w:val="Heading2"/>
        <w:bidi/>
        <w:spacing w:after="140" w:before="240"/>
        <w:jc w:val="right"/>
      </w:pPr>
      <w:r>
        <w:rPr>
          <w:rFonts w:ascii="Arial" w:cs="Arial" w:eastAsia="Arial" w:hAnsi="Arial"/>
          <w:b/>
          <w:bCs/>
          <w:color w:val="2E75B6"/>
          <w:sz w:val="30"/>
          <w:szCs w:val="30"/>
          <w:rtl/>
        </w:rPr>
        <w:t xml:space="preserve">14.1 خيارات التشغيل</w:t>
      </w:r>
    </w:p>
    <w:p>
      <w:pPr>
        <w:pStyle w:val="ListParagraph"/>
        <w:numPr>
          <w:ilvl w:val="0"/>
          <w:numId w:val="7"/>
        </w:numPr>
        <w:bidi/>
        <w:spacing w:after="40" w:before="40" w:line="320"/>
        <w:jc w:val="right"/>
      </w:pPr>
      <w:r>
        <w:rPr>
          <w:rFonts w:ascii="Arial" w:cs="Arial" w:eastAsia="Arial" w:hAnsi="Arial"/>
          <w:sz w:val="24"/>
          <w:szCs w:val="24"/>
          <w:rtl/>
        </w:rPr>
        <w:t xml:space="preserve">التشغيل البلدي المباشر: تشغّل البلدية المرفق بكوادرها وتحصّل الإيرادات مباشرة. يحقق الإيراد الكامل لكنه يستلزم كوادر تشغيل وإدارة دائمة.</w:t>
      </w:r>
    </w:p>
    <w:p>
      <w:pPr>
        <w:pStyle w:val="ListParagraph"/>
        <w:numPr>
          <w:ilvl w:val="0"/>
          <w:numId w:val="7"/>
        </w:numPr>
        <w:bidi/>
        <w:spacing w:after="40" w:before="40" w:line="320"/>
        <w:jc w:val="right"/>
      </w:pPr>
      <w:r>
        <w:rPr>
          <w:rFonts w:ascii="Arial" w:cs="Arial" w:eastAsia="Arial" w:hAnsi="Arial"/>
          <w:sz w:val="24"/>
          <w:szCs w:val="24"/>
          <w:rtl/>
        </w:rPr>
        <w:t xml:space="preserve">الإيجار البسيط: تأجير المرفق بالكامل أو بنوداً منه (الكافيه/الملاعب) لمستثمر بإيجار سنوي ثابت. أسهل إدارياً، ضامن لإيراد ثابت، لكنه قد يكون أقل من الإيراد الكامل.</w:t>
      </w:r>
    </w:p>
    <w:p>
      <w:pPr>
        <w:pStyle w:val="ListParagraph"/>
        <w:numPr>
          <w:ilvl w:val="0"/>
          <w:numId w:val="7"/>
        </w:numPr>
        <w:bidi/>
        <w:spacing w:after="40" w:before="40" w:line="320"/>
        <w:jc w:val="right"/>
      </w:pPr>
      <w:r>
        <w:rPr>
          <w:rFonts w:ascii="Arial" w:cs="Arial" w:eastAsia="Arial" w:hAnsi="Arial"/>
          <w:sz w:val="24"/>
          <w:szCs w:val="24"/>
          <w:rtl/>
        </w:rPr>
        <w:t xml:space="preserve">مشاركة الإيراد (Revenue Sharing): إحالة التشغيل لمشغّل بنسبة من الإيراد الشهري، مع رقابة بلدية على الأسعار والخدمة. يُحقق توازناً بين الإيراد والإدارة.</w:t>
      </w:r>
    </w:p>
    <w:p>
      <w:pPr>
        <w:pStyle w:val="ListParagraph"/>
        <w:numPr>
          <w:ilvl w:val="0"/>
          <w:numId w:val="7"/>
        </w:numPr>
        <w:bidi/>
        <w:spacing w:after="40" w:before="40" w:line="320"/>
        <w:jc w:val="right"/>
      </w:pPr>
      <w:r>
        <w:rPr>
          <w:rFonts w:ascii="Arial" w:cs="Arial" w:eastAsia="Arial" w:hAnsi="Arial"/>
          <w:sz w:val="24"/>
          <w:szCs w:val="24"/>
          <w:rtl/>
        </w:rPr>
        <w:t xml:space="preserve">النموذج المختلط الموصى به: المرافق العامة (الجلسات، نافورات الشرب، مسار الجري، التشجير) تُدار وتُصان بلدياً بدون رسوم، فيما العناصر الترفيهية المباشرة (البادل، البولينغ، الكافيه/المطعم) تُحال للتشغيل عبر إيجار أو مشاركة إيراد.</w:t>
      </w:r>
    </w:p>
    <w:p>
      <w:pPr>
        <w:pStyle w:val="Heading2"/>
        <w:bidi/>
        <w:spacing w:after="140" w:before="240"/>
        <w:jc w:val="right"/>
      </w:pPr>
      <w:r>
        <w:rPr>
          <w:rFonts w:ascii="Arial" w:cs="Arial" w:eastAsia="Arial" w:hAnsi="Arial"/>
          <w:b/>
          <w:bCs/>
          <w:color w:val="2E75B6"/>
          <w:sz w:val="30"/>
          <w:szCs w:val="30"/>
          <w:rtl/>
        </w:rPr>
        <w:t xml:space="preserve">14.2 مصادر الإيراد المتوقعة</w:t>
      </w:r>
    </w:p>
    <w:p>
      <w:pPr>
        <w:pStyle w:val="ListParagraph"/>
        <w:numPr>
          <w:ilvl w:val="0"/>
          <w:numId w:val="2"/>
        </w:numPr>
        <w:bidi/>
        <w:spacing w:after="40" w:before="40" w:line="320"/>
        <w:jc w:val="right"/>
      </w:pPr>
      <w:r>
        <w:rPr>
          <w:rFonts w:ascii="Arial" w:cs="Arial" w:eastAsia="Arial" w:hAnsi="Arial"/>
          <w:sz w:val="24"/>
          <w:szCs w:val="24"/>
          <w:rtl/>
        </w:rPr>
        <w:t xml:space="preserve">إيجار الكافيه/المطعم (شهري ثابت أو نسبة من الإيراد).</w:t>
      </w:r>
    </w:p>
    <w:p>
      <w:pPr>
        <w:pStyle w:val="ListParagraph"/>
        <w:numPr>
          <w:ilvl w:val="0"/>
          <w:numId w:val="2"/>
        </w:numPr>
        <w:bidi/>
        <w:spacing w:after="40" w:before="40" w:line="320"/>
        <w:jc w:val="right"/>
      </w:pPr>
      <w:r>
        <w:rPr>
          <w:rFonts w:ascii="Arial" w:cs="Arial" w:eastAsia="Arial" w:hAnsi="Arial"/>
          <w:sz w:val="24"/>
          <w:szCs w:val="24"/>
          <w:rtl/>
        </w:rPr>
        <w:t xml:space="preserve">إيرادات حصص ملاعب البادل (بالساعة، حسب التسعيرة المعتمدة).</w:t>
      </w:r>
    </w:p>
    <w:p>
      <w:pPr>
        <w:pStyle w:val="ListParagraph"/>
        <w:numPr>
          <w:ilvl w:val="0"/>
          <w:numId w:val="2"/>
        </w:numPr>
        <w:bidi/>
        <w:spacing w:after="40" w:before="40" w:line="320"/>
        <w:jc w:val="right"/>
      </w:pPr>
      <w:r>
        <w:rPr>
          <w:rFonts w:ascii="Arial" w:cs="Arial" w:eastAsia="Arial" w:hAnsi="Arial"/>
          <w:sz w:val="24"/>
          <w:szCs w:val="24"/>
          <w:rtl/>
        </w:rPr>
        <w:t xml:space="preserve">إيرادات مسارات البولينغ (بالساعة أو بالحصة).</w:t>
      </w:r>
    </w:p>
    <w:p>
      <w:pPr>
        <w:pStyle w:val="ListParagraph"/>
        <w:numPr>
          <w:ilvl w:val="0"/>
          <w:numId w:val="2"/>
        </w:numPr>
        <w:bidi/>
        <w:spacing w:after="40" w:before="40" w:line="320"/>
        <w:jc w:val="right"/>
      </w:pPr>
      <w:r>
        <w:rPr>
          <w:rFonts w:ascii="Arial" w:cs="Arial" w:eastAsia="Arial" w:hAnsi="Arial"/>
          <w:sz w:val="24"/>
          <w:szCs w:val="24"/>
          <w:rtl/>
        </w:rPr>
        <w:t xml:space="preserve">الفعاليات الموسمية والشراكات الإعلانية المنظَّمة (وفق ضوابط البلدية).</w:t>
      </w:r>
    </w:p>
    <w:p>
      <w:pPr>
        <w:pStyle w:val="ListParagraph"/>
        <w:numPr>
          <w:ilvl w:val="0"/>
          <w:numId w:val="2"/>
        </w:numPr>
        <w:bidi/>
        <w:spacing w:after="40" w:before="40" w:line="320"/>
        <w:jc w:val="right"/>
      </w:pPr>
      <w:r>
        <w:rPr>
          <w:rFonts w:ascii="Arial" w:cs="Arial" w:eastAsia="Arial" w:hAnsi="Arial"/>
          <w:sz w:val="24"/>
          <w:szCs w:val="24"/>
          <w:rtl/>
        </w:rPr>
        <w:t xml:space="preserve">اشتراكات شهرية اختيارية لروّاد المرفق (في حال اعتمدت لاحقاً).</w:t>
      </w:r>
    </w:p>
    <w:p>
      <w:pPr>
        <w:pStyle w:val="Heading2"/>
        <w:bidi/>
        <w:spacing w:after="140" w:before="240"/>
        <w:jc w:val="right"/>
      </w:pPr>
      <w:r>
        <w:rPr>
          <w:rFonts w:ascii="Arial" w:cs="Arial" w:eastAsia="Arial" w:hAnsi="Arial"/>
          <w:b/>
          <w:bCs/>
          <w:color w:val="2E75B6"/>
          <w:sz w:val="30"/>
          <w:szCs w:val="30"/>
          <w:rtl/>
        </w:rPr>
        <w:t xml:space="preserve">14.3 المصاريف التشغيلية الشهرية</w:t>
      </w:r>
    </w:p>
    <w:p>
      <w:pPr>
        <w:pStyle w:val="ListParagraph"/>
        <w:numPr>
          <w:ilvl w:val="0"/>
          <w:numId w:val="2"/>
        </w:numPr>
        <w:bidi/>
        <w:spacing w:after="40" w:before="40" w:line="320"/>
        <w:jc w:val="right"/>
      </w:pPr>
      <w:r>
        <w:rPr>
          <w:rFonts w:ascii="Arial" w:cs="Arial" w:eastAsia="Arial" w:hAnsi="Arial"/>
          <w:sz w:val="24"/>
          <w:szCs w:val="24"/>
          <w:rtl/>
        </w:rPr>
        <w:t xml:space="preserve">الكهرباء والماء (إنارة الملاعب والمحيط، التبريد في الكافيه، الري).</w:t>
      </w:r>
    </w:p>
    <w:p>
      <w:pPr>
        <w:pStyle w:val="ListParagraph"/>
        <w:numPr>
          <w:ilvl w:val="0"/>
          <w:numId w:val="2"/>
        </w:numPr>
        <w:bidi/>
        <w:spacing w:after="40" w:before="40" w:line="320"/>
        <w:jc w:val="right"/>
      </w:pPr>
      <w:r>
        <w:rPr>
          <w:rFonts w:ascii="Arial" w:cs="Arial" w:eastAsia="Arial" w:hAnsi="Arial"/>
          <w:sz w:val="24"/>
          <w:szCs w:val="24"/>
          <w:rtl/>
        </w:rPr>
        <w:t xml:space="preserve">صيانة دورية للملاعب (العشب، الزجاج، الإنارة).</w:t>
      </w:r>
    </w:p>
    <w:p>
      <w:pPr>
        <w:pStyle w:val="ListParagraph"/>
        <w:numPr>
          <w:ilvl w:val="0"/>
          <w:numId w:val="2"/>
        </w:numPr>
        <w:bidi/>
        <w:spacing w:after="40" w:before="40" w:line="320"/>
        <w:jc w:val="right"/>
      </w:pPr>
      <w:r>
        <w:rPr>
          <w:rFonts w:ascii="Arial" w:cs="Arial" w:eastAsia="Arial" w:hAnsi="Arial"/>
          <w:sz w:val="24"/>
          <w:szCs w:val="24"/>
          <w:rtl/>
        </w:rPr>
        <w:t xml:space="preserve">صيانة المسقفات والجلسات والنافورات.</w:t>
      </w:r>
    </w:p>
    <w:p>
      <w:pPr>
        <w:pStyle w:val="ListParagraph"/>
        <w:numPr>
          <w:ilvl w:val="0"/>
          <w:numId w:val="2"/>
        </w:numPr>
        <w:bidi/>
        <w:spacing w:after="40" w:before="40" w:line="320"/>
        <w:jc w:val="right"/>
      </w:pPr>
      <w:r>
        <w:rPr>
          <w:rFonts w:ascii="Arial" w:cs="Arial" w:eastAsia="Arial" w:hAnsi="Arial"/>
          <w:sz w:val="24"/>
          <w:szCs w:val="24"/>
          <w:rtl/>
        </w:rPr>
        <w:t xml:space="preserve">التشجير والري (مياه + تقليم موسمي).</w:t>
      </w:r>
    </w:p>
    <w:p>
      <w:pPr>
        <w:pStyle w:val="ListParagraph"/>
        <w:numPr>
          <w:ilvl w:val="0"/>
          <w:numId w:val="2"/>
        </w:numPr>
        <w:bidi/>
        <w:spacing w:after="40" w:before="40" w:line="320"/>
        <w:jc w:val="right"/>
      </w:pPr>
      <w:r>
        <w:rPr>
          <w:rFonts w:ascii="Arial" w:cs="Arial" w:eastAsia="Arial" w:hAnsi="Arial"/>
          <w:sz w:val="24"/>
          <w:szCs w:val="24"/>
          <w:rtl/>
        </w:rPr>
        <w:t xml:space="preserve">النظافة اليومية والأمن الليلي.</w:t>
      </w:r>
    </w:p>
    <w:p>
      <w:pPr>
        <w:pStyle w:val="ListParagraph"/>
        <w:numPr>
          <w:ilvl w:val="0"/>
          <w:numId w:val="2"/>
        </w:numPr>
        <w:bidi/>
        <w:spacing w:after="40" w:before="40" w:line="320"/>
        <w:jc w:val="right"/>
      </w:pPr>
      <w:r>
        <w:rPr>
          <w:rFonts w:ascii="Arial" w:cs="Arial" w:eastAsia="Arial" w:hAnsi="Arial"/>
          <w:sz w:val="24"/>
          <w:szCs w:val="24"/>
          <w:rtl/>
        </w:rPr>
        <w:t xml:space="preserve">الإدارة والاستقبال (في حال التشغيل البلدي المباشر).</w:t>
      </w:r>
    </w:p>
    <w:p>
      <w:pPr>
        <w:pStyle w:val="Heading2"/>
        <w:bidi/>
        <w:spacing w:after="140" w:before="240"/>
        <w:jc w:val="right"/>
      </w:pPr>
      <w:r>
        <w:rPr>
          <w:rFonts w:ascii="Arial" w:cs="Arial" w:eastAsia="Arial" w:hAnsi="Arial"/>
          <w:b/>
          <w:bCs/>
          <w:color w:val="2E75B6"/>
          <w:sz w:val="30"/>
          <w:szCs w:val="30"/>
          <w:rtl/>
        </w:rPr>
        <w:t xml:space="preserve">14.4 تقدير فترة استرداد رأس المال</w:t>
      </w:r>
    </w:p>
    <w:p>
      <w:pPr>
        <w:bidi/>
        <w:spacing w:after="80" w:before="80" w:line="360"/>
        <w:jc w:val="both"/>
      </w:pPr>
      <w:r>
        <w:rPr>
          <w:rFonts w:ascii="Arial" w:cs="Arial" w:eastAsia="Arial" w:hAnsi="Arial"/>
          <w:b w:val="false"/>
          <w:bCs w:val="false"/>
          <w:color w:val="000000"/>
          <w:sz w:val="24"/>
          <w:szCs w:val="24"/>
          <w:rtl/>
        </w:rPr>
        <w:t xml:space="preserve">يتراوح تقدير فترة استرداد رأس المال (Payback Period) – بحسب نموذج التشغيل المعتمد ومستوى الإقبال – بين (3 – 5) سنوات للخيار الثاني (1000 م²) بالمواصفات القياسية، وبين (3 – 4) سنوات للخيار الأول (500 م²) بالمواصفات القياسية. هذا التقدير محافظ، وقد يكون أسرع في حال تحقّق إقبال جماهيري قوي أو إضافة مصادر إيراد إضافية (فعاليات، رعاية).</w:t>
      </w:r>
    </w:p>
    <w:p>
      <w:pPr>
        <w:pStyle w:val="Heading1"/>
        <w:pageBreakBefore/>
        <w:bidi/>
        <w:spacing w:after="200" w:before="360"/>
        <w:jc w:val="right"/>
      </w:pPr>
      <w:r>
        <w:rPr>
          <w:rFonts w:ascii="Arial" w:cs="Arial" w:eastAsia="Arial" w:hAnsi="Arial"/>
          <w:b/>
          <w:bCs/>
          <w:color w:val="1F4E79"/>
          <w:sz w:val="36"/>
          <w:szCs w:val="36"/>
          <w:rtl/>
        </w:rPr>
        <w:t xml:space="preserve">15. المخاطر وآليات معالجتها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4000"/>
      </w:tblGrid>
      <w:tr>
        <w:trPr>
          <w:tblHeader/>
        </w:trPr>
        <w:tc>
          <w:tcPr>
            <w:tcW w:type="dxa" w:w="350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المخاطرة</w:t>
            </w:r>
          </w:p>
        </w:tc>
        <w:tc>
          <w:tcPr>
            <w:tcW w:type="dxa" w:w="186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الاحتمال</w:t>
            </w:r>
          </w:p>
        </w:tc>
        <w:tc>
          <w:tcPr>
            <w:tcW w:type="dxa" w:w="400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آلية المعالجة</w:t>
            </w:r>
          </w:p>
        </w:tc>
      </w:tr>
      <w:tr>
        <w:tc>
          <w:tcPr>
            <w:tcW w:type="dxa" w:w="35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تأخر التنفيذ بسبب توفر المواد</w:t>
            </w:r>
          </w:p>
        </w:tc>
        <w:tc>
          <w:tcPr>
            <w:tcW w:type="dxa" w:w="18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متوسط</w:t>
            </w:r>
          </w:p>
        </w:tc>
        <w:tc>
          <w:tcPr>
            <w:tcW w:type="dxa" w:w="4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اعتماد ورش محلية وموردين متعددين، وبدء طلبات الشراء مبكراً</w:t>
            </w:r>
          </w:p>
        </w:tc>
      </w:tr>
      <w:tr>
        <w:tc>
          <w:tcPr>
            <w:tcW w:type="dxa" w:w="35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ارتفاع أسعار المواد عن التقدير</w:t>
            </w:r>
          </w:p>
        </w:tc>
        <w:tc>
          <w:tcPr>
            <w:tcW w:type="dxa" w:w="18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متوسط – عالٍ</w:t>
            </w:r>
          </w:p>
        </w:tc>
        <w:tc>
          <w:tcPr>
            <w:tcW w:type="dxa" w:w="4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تخصيص بند احتياط (10%) في كل درجة، مع تثبيت أسعار تعاقدياً قدر الإمكان</w:t>
            </w:r>
          </w:p>
        </w:tc>
      </w:tr>
      <w:tr>
        <w:tc>
          <w:tcPr>
            <w:tcW w:type="dxa" w:w="35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ضعف الإقبال في الأشهر الأولى</w:t>
            </w:r>
          </w:p>
        </w:tc>
        <w:tc>
          <w:tcPr>
            <w:tcW w:type="dxa" w:w="18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متوسط</w:t>
            </w:r>
          </w:p>
        </w:tc>
        <w:tc>
          <w:tcPr>
            <w:tcW w:type="dxa" w:w="4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إطلاق ترويج بلدي ابتدائي، وفعاليات افتتاحية، وأسعار رمزية في الفترة التعريفية</w:t>
            </w:r>
          </w:p>
        </w:tc>
      </w:tr>
      <w:tr>
        <w:tc>
          <w:tcPr>
            <w:tcW w:type="dxa" w:w="35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تشغيل غير منضبط للكافيه/المطعم</w:t>
            </w:r>
          </w:p>
        </w:tc>
        <w:tc>
          <w:tcPr>
            <w:tcW w:type="dxa" w:w="18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متوسط</w:t>
            </w:r>
          </w:p>
        </w:tc>
        <w:tc>
          <w:tcPr>
            <w:tcW w:type="dxa" w:w="4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اعتماد عقد إيجار/مشاركة بنود واضحة، ورقابة بلدية دورية</w:t>
            </w:r>
          </w:p>
        </w:tc>
      </w:tr>
      <w:tr>
        <w:tc>
          <w:tcPr>
            <w:tcW w:type="dxa" w:w="35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تجاوزات في المحيط أو إساءة استخدام</w:t>
            </w:r>
          </w:p>
        </w:tc>
        <w:tc>
          <w:tcPr>
            <w:tcW w:type="dxa" w:w="18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منخفض – متوسط</w:t>
            </w:r>
          </w:p>
        </w:tc>
        <w:tc>
          <w:tcPr>
            <w:tcW w:type="dxa" w:w="4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إنارة جيدة، كاميرات، حضور أمن ليلي، علامات سلامة واضحة</w:t>
            </w:r>
          </w:p>
        </w:tc>
      </w:tr>
      <w:tr>
        <w:tc>
          <w:tcPr>
            <w:tcW w:type="dxa" w:w="35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صيانة غير منتظمة</w:t>
            </w:r>
          </w:p>
        </w:tc>
        <w:tc>
          <w:tcPr>
            <w:tcW w:type="dxa" w:w="18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متوسط</w:t>
            </w:r>
          </w:p>
        </w:tc>
        <w:tc>
          <w:tcPr>
            <w:tcW w:type="dxa" w:w="4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إدراج بند صيانة دورية ضمن خطة الشعبة، وإحالتها لورش محلية بعقود متابعة</w:t>
            </w:r>
          </w:p>
        </w:tc>
      </w:tr>
      <w:tr>
        <w:tc>
          <w:tcPr>
            <w:tcW w:type="dxa" w:w="35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مشكلات مرورية على الشارع المحاذي</w:t>
            </w:r>
          </w:p>
        </w:tc>
        <w:tc>
          <w:tcPr>
            <w:tcW w:type="dxa" w:w="18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منخفض</w:t>
            </w:r>
          </w:p>
        </w:tc>
        <w:tc>
          <w:tcPr>
            <w:tcW w:type="dxa" w:w="4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تنسيق مع المرور لتنظيم المواقف وعلامات الدخول والخروج</w:t>
            </w:r>
          </w:p>
        </w:tc>
      </w:tr>
      <w:tr>
        <w:tc>
          <w:tcPr>
            <w:tcW w:type="dxa" w:w="35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استخدام غير عائلي في ساعات معيّنة</w:t>
            </w:r>
          </w:p>
        </w:tc>
        <w:tc>
          <w:tcPr>
            <w:tcW w:type="dxa" w:w="18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منخفض – متوسط</w:t>
            </w:r>
          </w:p>
        </w:tc>
        <w:tc>
          <w:tcPr>
            <w:tcW w:type="dxa" w:w="4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تحديد ساعات عمل واضحة، وحضور إداري في ساعات الذروة</w:t>
            </w:r>
          </w:p>
        </w:tc>
      </w:tr>
    </w:tbl>
    <w:p>
      <w:pPr>
        <w:pStyle w:val="Heading1"/>
        <w:pageBreakBefore/>
        <w:bidi/>
        <w:spacing w:after="200" w:before="360"/>
        <w:jc w:val="right"/>
      </w:pPr>
      <w:r>
        <w:rPr>
          <w:rFonts w:ascii="Arial" w:cs="Arial" w:eastAsia="Arial" w:hAnsi="Arial"/>
          <w:b/>
          <w:bCs/>
          <w:color w:val="1F4E79"/>
          <w:sz w:val="36"/>
          <w:szCs w:val="36"/>
          <w:rtl/>
        </w:rPr>
        <w:t xml:space="preserve">16. خطة التنفيذ المرحلية</w:t>
      </w:r>
    </w:p>
    <w:p>
      <w:pPr>
        <w:pStyle w:val="Heading2"/>
        <w:bidi/>
        <w:spacing w:after="140" w:before="240"/>
        <w:jc w:val="right"/>
      </w:pPr>
      <w:r>
        <w:rPr>
          <w:rFonts w:ascii="Arial" w:cs="Arial" w:eastAsia="Arial" w:hAnsi="Arial"/>
          <w:b/>
          <w:bCs/>
          <w:color w:val="2E75B6"/>
          <w:sz w:val="30"/>
          <w:szCs w:val="30"/>
          <w:rtl/>
        </w:rPr>
        <w:t xml:space="preserve">16.1 المرحلة التحضيرية (شهر 0 – 1)</w:t>
      </w:r>
    </w:p>
    <w:p>
      <w:pPr>
        <w:pStyle w:val="ListParagraph"/>
        <w:numPr>
          <w:ilvl w:val="0"/>
          <w:numId w:val="2"/>
        </w:numPr>
        <w:bidi/>
        <w:spacing w:after="40" w:before="40" w:line="320"/>
        <w:jc w:val="right"/>
      </w:pPr>
      <w:r>
        <w:rPr>
          <w:rFonts w:ascii="Arial" w:cs="Arial" w:eastAsia="Arial" w:hAnsi="Arial"/>
          <w:sz w:val="24"/>
          <w:szCs w:val="24"/>
          <w:rtl/>
        </w:rPr>
        <w:t xml:space="preserve">اختيار الموقع النهائي وتثبيته رسمياً ضمن أملاك البلدية.</w:t>
      </w:r>
    </w:p>
    <w:p>
      <w:pPr>
        <w:pStyle w:val="ListParagraph"/>
        <w:numPr>
          <w:ilvl w:val="0"/>
          <w:numId w:val="2"/>
        </w:numPr>
        <w:bidi/>
        <w:spacing w:after="40" w:before="40" w:line="320"/>
        <w:jc w:val="right"/>
      </w:pPr>
      <w:r>
        <w:rPr>
          <w:rFonts w:ascii="Arial" w:cs="Arial" w:eastAsia="Arial" w:hAnsi="Arial"/>
          <w:sz w:val="24"/>
          <w:szCs w:val="24"/>
          <w:rtl/>
        </w:rPr>
        <w:t xml:space="preserve">تشكيل لجنة فنية مشتركة (شعبة تجميل المدينة + الشعبة الهندسية).</w:t>
      </w:r>
    </w:p>
    <w:p>
      <w:pPr>
        <w:pStyle w:val="ListParagraph"/>
        <w:numPr>
          <w:ilvl w:val="0"/>
          <w:numId w:val="2"/>
        </w:numPr>
        <w:bidi/>
        <w:spacing w:after="40" w:before="40" w:line="320"/>
        <w:jc w:val="right"/>
      </w:pPr>
      <w:r>
        <w:rPr>
          <w:rFonts w:ascii="Arial" w:cs="Arial" w:eastAsia="Arial" w:hAnsi="Arial"/>
          <w:sz w:val="24"/>
          <w:szCs w:val="24"/>
          <w:rtl/>
        </w:rPr>
        <w:t xml:space="preserve">إعداد المخططات التفصيلية وكشف الكميات.</w:t>
      </w:r>
    </w:p>
    <w:p>
      <w:pPr>
        <w:pStyle w:val="ListParagraph"/>
        <w:numPr>
          <w:ilvl w:val="0"/>
          <w:numId w:val="2"/>
        </w:numPr>
        <w:bidi/>
        <w:spacing w:after="40" w:before="40" w:line="320"/>
        <w:jc w:val="right"/>
      </w:pPr>
      <w:r>
        <w:rPr>
          <w:rFonts w:ascii="Arial" w:cs="Arial" w:eastAsia="Arial" w:hAnsi="Arial"/>
          <w:sz w:val="24"/>
          <w:szCs w:val="24"/>
          <w:rtl/>
        </w:rPr>
        <w:t xml:space="preserve">اعتماد الميزانية وتخصيص البنود.</w:t>
      </w:r>
    </w:p>
    <w:p>
      <w:pPr>
        <w:pStyle w:val="ListParagraph"/>
        <w:numPr>
          <w:ilvl w:val="0"/>
          <w:numId w:val="2"/>
        </w:numPr>
        <w:bidi/>
        <w:spacing w:after="40" w:before="40" w:line="320"/>
        <w:jc w:val="right"/>
      </w:pPr>
      <w:r>
        <w:rPr>
          <w:rFonts w:ascii="Arial" w:cs="Arial" w:eastAsia="Arial" w:hAnsi="Arial"/>
          <w:sz w:val="24"/>
          <w:szCs w:val="24"/>
          <w:rtl/>
        </w:rPr>
        <w:t xml:space="preserve">إعداد قوائم الورش والموردين المؤهَّلين.</w:t>
      </w:r>
    </w:p>
    <w:p>
      <w:pPr>
        <w:pStyle w:val="Heading2"/>
        <w:bidi/>
        <w:spacing w:after="140" w:before="240"/>
        <w:jc w:val="right"/>
      </w:pPr>
      <w:r>
        <w:rPr>
          <w:rFonts w:ascii="Arial" w:cs="Arial" w:eastAsia="Arial" w:hAnsi="Arial"/>
          <w:b/>
          <w:bCs/>
          <w:color w:val="2E75B6"/>
          <w:sz w:val="30"/>
          <w:szCs w:val="30"/>
          <w:rtl/>
        </w:rPr>
        <w:t xml:space="preserve">16.2 المرحلة الأولى (شهر 1 – 4)</w:t>
      </w:r>
    </w:p>
    <w:p>
      <w:pPr>
        <w:pStyle w:val="ListParagraph"/>
        <w:numPr>
          <w:ilvl w:val="0"/>
          <w:numId w:val="2"/>
        </w:numPr>
        <w:bidi/>
        <w:spacing w:after="40" w:before="40" w:line="320"/>
        <w:jc w:val="right"/>
      </w:pPr>
      <w:r>
        <w:rPr>
          <w:rFonts w:ascii="Arial" w:cs="Arial" w:eastAsia="Arial" w:hAnsi="Arial"/>
          <w:sz w:val="24"/>
          <w:szCs w:val="24"/>
          <w:rtl/>
        </w:rPr>
        <w:t xml:space="preserve">أعمال التحضير والتسوية والحفر والردم بكوادر البلدية.</w:t>
      </w:r>
    </w:p>
    <w:p>
      <w:pPr>
        <w:pStyle w:val="ListParagraph"/>
        <w:numPr>
          <w:ilvl w:val="0"/>
          <w:numId w:val="2"/>
        </w:numPr>
        <w:bidi/>
        <w:spacing w:after="40" w:before="40" w:line="320"/>
        <w:jc w:val="right"/>
      </w:pPr>
      <w:r>
        <w:rPr>
          <w:rFonts w:ascii="Arial" w:cs="Arial" w:eastAsia="Arial" w:hAnsi="Arial"/>
          <w:sz w:val="24"/>
          <w:szCs w:val="24"/>
          <w:rtl/>
        </w:rPr>
        <w:t xml:space="preserve">تنفيذ البنية التحتية (كهرباء، ماء، صرف، ري).</w:t>
      </w:r>
    </w:p>
    <w:p>
      <w:pPr>
        <w:pStyle w:val="ListParagraph"/>
        <w:numPr>
          <w:ilvl w:val="0"/>
          <w:numId w:val="2"/>
        </w:numPr>
        <w:bidi/>
        <w:spacing w:after="40" w:before="40" w:line="320"/>
        <w:jc w:val="right"/>
      </w:pPr>
      <w:r>
        <w:rPr>
          <w:rFonts w:ascii="Arial" w:cs="Arial" w:eastAsia="Arial" w:hAnsi="Arial"/>
          <w:sz w:val="24"/>
          <w:szCs w:val="24"/>
          <w:rtl/>
        </w:rPr>
        <w:t xml:space="preserve">إنشاء الممرات والباركنك المائل والكربستون.</w:t>
      </w:r>
    </w:p>
    <w:p>
      <w:pPr>
        <w:pStyle w:val="ListParagraph"/>
        <w:numPr>
          <w:ilvl w:val="0"/>
          <w:numId w:val="2"/>
        </w:numPr>
        <w:bidi/>
        <w:spacing w:after="40" w:before="40" w:line="320"/>
        <w:jc w:val="right"/>
      </w:pPr>
      <w:r>
        <w:rPr>
          <w:rFonts w:ascii="Arial" w:cs="Arial" w:eastAsia="Arial" w:hAnsi="Arial"/>
          <w:sz w:val="24"/>
          <w:szCs w:val="24"/>
          <w:rtl/>
        </w:rPr>
        <w:t xml:space="preserve">تشييد الكافيه والصحيات (الأبنية المغلقة).</w:t>
      </w:r>
    </w:p>
    <w:p>
      <w:pPr>
        <w:pStyle w:val="ListParagraph"/>
        <w:numPr>
          <w:ilvl w:val="0"/>
          <w:numId w:val="2"/>
        </w:numPr>
        <w:bidi/>
        <w:spacing w:after="40" w:before="40" w:line="320"/>
        <w:jc w:val="right"/>
      </w:pPr>
      <w:r>
        <w:rPr>
          <w:rFonts w:ascii="Arial" w:cs="Arial" w:eastAsia="Arial" w:hAnsi="Arial"/>
          <w:sz w:val="24"/>
          <w:szCs w:val="24"/>
          <w:rtl/>
        </w:rPr>
        <w:t xml:space="preserve">شراء وتركيب ملاعب البادل (تخصصي).</w:t>
      </w:r>
    </w:p>
    <w:p>
      <w:pPr>
        <w:pStyle w:val="Heading2"/>
        <w:bidi/>
        <w:spacing w:after="140" w:before="240"/>
        <w:jc w:val="right"/>
      </w:pPr>
      <w:r>
        <w:rPr>
          <w:rFonts w:ascii="Arial" w:cs="Arial" w:eastAsia="Arial" w:hAnsi="Arial"/>
          <w:b/>
          <w:bCs/>
          <w:color w:val="2E75B6"/>
          <w:sz w:val="30"/>
          <w:szCs w:val="30"/>
          <w:rtl/>
        </w:rPr>
        <w:t xml:space="preserve">16.3 المرحلة الثانية (شهر 4 – 8)</w:t>
      </w:r>
    </w:p>
    <w:p>
      <w:pPr>
        <w:pStyle w:val="ListParagraph"/>
        <w:numPr>
          <w:ilvl w:val="0"/>
          <w:numId w:val="2"/>
        </w:numPr>
        <w:bidi/>
        <w:spacing w:after="40" w:before="40" w:line="320"/>
        <w:jc w:val="right"/>
      </w:pPr>
      <w:r>
        <w:rPr>
          <w:rFonts w:ascii="Arial" w:cs="Arial" w:eastAsia="Arial" w:hAnsi="Arial"/>
          <w:sz w:val="24"/>
          <w:szCs w:val="24"/>
          <w:rtl/>
        </w:rPr>
        <w:t xml:space="preserve">تركيب البولينغ Compact (في الخيار الثاني).</w:t>
      </w:r>
    </w:p>
    <w:p>
      <w:pPr>
        <w:pStyle w:val="ListParagraph"/>
        <w:numPr>
          <w:ilvl w:val="0"/>
          <w:numId w:val="2"/>
        </w:numPr>
        <w:bidi/>
        <w:spacing w:after="40" w:before="40" w:line="320"/>
        <w:jc w:val="right"/>
      </w:pPr>
      <w:r>
        <w:rPr>
          <w:rFonts w:ascii="Arial" w:cs="Arial" w:eastAsia="Arial" w:hAnsi="Arial"/>
          <w:sz w:val="24"/>
          <w:szCs w:val="24"/>
          <w:rtl/>
        </w:rPr>
        <w:t xml:space="preserve">تنفيذ المسقفات والجلسات العائلية.</w:t>
      </w:r>
    </w:p>
    <w:p>
      <w:pPr>
        <w:pStyle w:val="ListParagraph"/>
        <w:numPr>
          <w:ilvl w:val="0"/>
          <w:numId w:val="2"/>
        </w:numPr>
        <w:bidi/>
        <w:spacing w:after="40" w:before="40" w:line="320"/>
        <w:jc w:val="right"/>
      </w:pPr>
      <w:r>
        <w:rPr>
          <w:rFonts w:ascii="Arial" w:cs="Arial" w:eastAsia="Arial" w:hAnsi="Arial"/>
          <w:sz w:val="24"/>
          <w:szCs w:val="24"/>
          <w:rtl/>
        </w:rPr>
        <w:t xml:space="preserve">التشجير ومنظومة الري واللاندسكيب الكامل.</w:t>
      </w:r>
    </w:p>
    <w:p>
      <w:pPr>
        <w:pStyle w:val="ListParagraph"/>
        <w:numPr>
          <w:ilvl w:val="0"/>
          <w:numId w:val="2"/>
        </w:numPr>
        <w:bidi/>
        <w:spacing w:after="40" w:before="40" w:line="320"/>
        <w:jc w:val="right"/>
      </w:pPr>
      <w:r>
        <w:rPr>
          <w:rFonts w:ascii="Arial" w:cs="Arial" w:eastAsia="Arial" w:hAnsi="Arial"/>
          <w:sz w:val="24"/>
          <w:szCs w:val="24"/>
          <w:rtl/>
        </w:rPr>
        <w:t xml:space="preserve">الإنارة العامة والكاميرات.</w:t>
      </w:r>
    </w:p>
    <w:p>
      <w:pPr>
        <w:pStyle w:val="ListParagraph"/>
        <w:numPr>
          <w:ilvl w:val="0"/>
          <w:numId w:val="2"/>
        </w:numPr>
        <w:bidi/>
        <w:spacing w:after="40" w:before="40" w:line="320"/>
        <w:jc w:val="right"/>
      </w:pPr>
      <w:r>
        <w:rPr>
          <w:rFonts w:ascii="Arial" w:cs="Arial" w:eastAsia="Arial" w:hAnsi="Arial"/>
          <w:sz w:val="24"/>
          <w:szCs w:val="24"/>
          <w:rtl/>
        </w:rPr>
        <w:t xml:space="preserve">نافورات الشرب ومواقف الدراجات.</w:t>
      </w:r>
    </w:p>
    <w:p>
      <w:pPr>
        <w:pStyle w:val="Heading2"/>
        <w:bidi/>
        <w:spacing w:after="140" w:before="240"/>
        <w:jc w:val="right"/>
      </w:pPr>
      <w:r>
        <w:rPr>
          <w:rFonts w:ascii="Arial" w:cs="Arial" w:eastAsia="Arial" w:hAnsi="Arial"/>
          <w:b/>
          <w:bCs/>
          <w:color w:val="2E75B6"/>
          <w:sz w:val="30"/>
          <w:szCs w:val="30"/>
          <w:rtl/>
        </w:rPr>
        <w:t xml:space="preserve">16.4 المرحلة الثالثة (شهر 8 – 10/12)</w:t>
      </w:r>
    </w:p>
    <w:p>
      <w:pPr>
        <w:pStyle w:val="ListParagraph"/>
        <w:numPr>
          <w:ilvl w:val="0"/>
          <w:numId w:val="2"/>
        </w:numPr>
        <w:bidi/>
        <w:spacing w:after="40" w:before="40" w:line="320"/>
        <w:jc w:val="right"/>
      </w:pPr>
      <w:r>
        <w:rPr>
          <w:rFonts w:ascii="Arial" w:cs="Arial" w:eastAsia="Arial" w:hAnsi="Arial"/>
          <w:sz w:val="24"/>
          <w:szCs w:val="24"/>
          <w:rtl/>
        </w:rPr>
        <w:t xml:space="preserve">الديكور والهوية البصرية واللوحات الإرشادية (بالتعاون مع ورش محلية).</w:t>
      </w:r>
    </w:p>
    <w:p>
      <w:pPr>
        <w:pStyle w:val="ListParagraph"/>
        <w:numPr>
          <w:ilvl w:val="0"/>
          <w:numId w:val="2"/>
        </w:numPr>
        <w:bidi/>
        <w:spacing w:after="40" w:before="40" w:line="320"/>
        <w:jc w:val="right"/>
      </w:pPr>
      <w:r>
        <w:rPr>
          <w:rFonts w:ascii="Arial" w:cs="Arial" w:eastAsia="Arial" w:hAnsi="Arial"/>
          <w:sz w:val="24"/>
          <w:szCs w:val="24"/>
          <w:rtl/>
        </w:rPr>
        <w:t xml:space="preserve">التشطيبات النهائية والصبغ والتنظيف.</w:t>
      </w:r>
    </w:p>
    <w:p>
      <w:pPr>
        <w:pStyle w:val="ListParagraph"/>
        <w:numPr>
          <w:ilvl w:val="0"/>
          <w:numId w:val="2"/>
        </w:numPr>
        <w:bidi/>
        <w:spacing w:after="40" w:before="40" w:line="320"/>
        <w:jc w:val="right"/>
      </w:pPr>
      <w:r>
        <w:rPr>
          <w:rFonts w:ascii="Arial" w:cs="Arial" w:eastAsia="Arial" w:hAnsi="Arial"/>
          <w:sz w:val="24"/>
          <w:szCs w:val="24"/>
          <w:rtl/>
        </w:rPr>
        <w:t xml:space="preserve">اختبار وتشغيل تجريبي.</w:t>
      </w:r>
    </w:p>
    <w:p>
      <w:pPr>
        <w:pStyle w:val="ListParagraph"/>
        <w:numPr>
          <w:ilvl w:val="0"/>
          <w:numId w:val="2"/>
        </w:numPr>
        <w:bidi/>
        <w:spacing w:after="40" w:before="40" w:line="320"/>
        <w:jc w:val="right"/>
      </w:pPr>
      <w:r>
        <w:rPr>
          <w:rFonts w:ascii="Arial" w:cs="Arial" w:eastAsia="Arial" w:hAnsi="Arial"/>
          <w:sz w:val="24"/>
          <w:szCs w:val="24"/>
          <w:rtl/>
        </w:rPr>
        <w:t xml:space="preserve">الاستلام النهائي والتسليم الرسمي.</w:t>
      </w:r>
    </w:p>
    <w:p>
      <w:pPr>
        <w:pStyle w:val="ListParagraph"/>
        <w:numPr>
          <w:ilvl w:val="0"/>
          <w:numId w:val="2"/>
        </w:numPr>
        <w:bidi/>
        <w:spacing w:after="40" w:before="40" w:line="320"/>
        <w:jc w:val="right"/>
      </w:pPr>
      <w:r>
        <w:rPr>
          <w:rFonts w:ascii="Arial" w:cs="Arial" w:eastAsia="Arial" w:hAnsi="Arial"/>
          <w:sz w:val="24"/>
          <w:szCs w:val="24"/>
          <w:rtl/>
        </w:rPr>
        <w:t xml:space="preserve">الافتتاح والترويج البلدي.</w:t>
      </w:r>
    </w:p>
    <w:p>
      <w:pPr>
        <w:pStyle w:val="Heading2"/>
        <w:bidi/>
        <w:spacing w:after="140" w:before="240"/>
        <w:jc w:val="right"/>
      </w:pPr>
      <w:r>
        <w:rPr>
          <w:rFonts w:ascii="Arial" w:cs="Arial" w:eastAsia="Arial" w:hAnsi="Arial"/>
          <w:b/>
          <w:bCs/>
          <w:color w:val="2E75B6"/>
          <w:sz w:val="30"/>
          <w:szCs w:val="30"/>
          <w:rtl/>
        </w:rPr>
        <w:t xml:space="preserve">16.5 جدول زمني ملخّص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المرحلة</w:t>
            </w:r>
          </w:p>
        </w:tc>
        <w:tc>
          <w:tcPr>
            <w:tcW w:type="dxa" w:w="236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المدة</w:t>
            </w:r>
          </w:p>
        </w:tc>
        <w:tc>
          <w:tcPr>
            <w:tcW w:type="dxa" w:w="400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النتائج المتوقعة</w:t>
            </w:r>
          </w:p>
        </w:tc>
      </w:tr>
      <w:tr>
        <w:tc>
          <w:tcPr>
            <w:tcW w:type="dxa" w:w="3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تحضيرية</w:t>
            </w:r>
          </w:p>
        </w:tc>
        <w:tc>
          <w:tcPr>
            <w:tcW w:type="dxa" w:w="23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شهر واحد</w:t>
            </w:r>
          </w:p>
        </w:tc>
        <w:tc>
          <w:tcPr>
            <w:tcW w:type="dxa" w:w="4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موقع معتمد + ميزانية مخصَّصة + لجنة فنية</w:t>
            </w:r>
          </w:p>
        </w:tc>
      </w:tr>
      <w:tr>
        <w:tc>
          <w:tcPr>
            <w:tcW w:type="dxa" w:w="3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المرحلة الأولى</w:t>
            </w:r>
          </w:p>
        </w:tc>
        <w:tc>
          <w:tcPr>
            <w:tcW w:type="dxa" w:w="23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 أشهر</w:t>
            </w:r>
          </w:p>
        </w:tc>
        <w:tc>
          <w:tcPr>
            <w:tcW w:type="dxa" w:w="4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بنية تحتية + أبنية أساسية + ملعب/ملعبا بادل</w:t>
            </w:r>
          </w:p>
        </w:tc>
      </w:tr>
      <w:tr>
        <w:tc>
          <w:tcPr>
            <w:tcW w:type="dxa" w:w="3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المرحلة الثانية</w:t>
            </w:r>
          </w:p>
        </w:tc>
        <w:tc>
          <w:tcPr>
            <w:tcW w:type="dxa" w:w="23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4 أشهر</w:t>
            </w:r>
          </w:p>
        </w:tc>
        <w:tc>
          <w:tcPr>
            <w:tcW w:type="dxa" w:w="40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بولينغ + مسقفات + لاندسكيب + إنارة + كاميرات</w:t>
            </w:r>
          </w:p>
        </w:tc>
      </w:tr>
      <w:tr>
        <w:tc>
          <w:tcPr>
            <w:tcW w:type="dxa" w:w="3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المرحلة الثالثة</w:t>
            </w:r>
          </w:p>
        </w:tc>
        <w:tc>
          <w:tcPr>
            <w:tcW w:type="dxa" w:w="23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 – 4 أشهر</w:t>
            </w:r>
          </w:p>
        </w:tc>
        <w:tc>
          <w:tcPr>
            <w:tcW w:type="dxa" w:w="40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ديكور + هوية بصرية + تشطيب + افتتاح</w:t>
            </w:r>
          </w:p>
        </w:tc>
      </w:tr>
      <w:tr>
        <w:tc>
          <w:tcPr>
            <w:tcW w:type="dxa" w:w="300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right"/>
            </w:pPr>
            <w:r>
              <w:rPr>
                <w:rFonts w:ascii="Arial" w:cs="Arial" w:eastAsia="Arial" w:hAnsi="Arial"/>
                <w:b/>
                <w:bCs/>
                <w:color w:val="000000"/>
                <w:sz w:val="22"/>
                <w:szCs w:val="22"/>
                <w:rtl/>
              </w:rPr>
              <w:t xml:space="preserve">المجموع للخيار الأول</w:t>
            </w:r>
          </w:p>
        </w:tc>
        <w:tc>
          <w:tcPr>
            <w:tcW w:type="dxa" w:w="236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5 – 7 أشهر</w:t>
            </w:r>
          </w:p>
        </w:tc>
        <w:tc>
          <w:tcPr>
            <w:tcW w:type="dxa" w:w="400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w:t>
            </w:r>
          </w:p>
        </w:tc>
      </w:tr>
      <w:tr>
        <w:tc>
          <w:tcPr>
            <w:tcW w:type="dxa" w:w="300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right"/>
            </w:pPr>
            <w:r>
              <w:rPr>
                <w:rFonts w:ascii="Arial" w:cs="Arial" w:eastAsia="Arial" w:hAnsi="Arial"/>
                <w:b/>
                <w:bCs/>
                <w:color w:val="000000"/>
                <w:sz w:val="22"/>
                <w:szCs w:val="22"/>
                <w:rtl/>
              </w:rPr>
              <w:t xml:space="preserve">المجموع للخيار الثاني</w:t>
            </w:r>
          </w:p>
        </w:tc>
        <w:tc>
          <w:tcPr>
            <w:tcW w:type="dxa" w:w="236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8 – 12 شهراً</w:t>
            </w:r>
          </w:p>
        </w:tc>
        <w:tc>
          <w:tcPr>
            <w:tcW w:type="dxa" w:w="4000"/>
            <w:tcBorders>
              <w:top w:val="single" w:color="8FAADC" w:sz="6"/>
              <w:left w:val="single" w:color="8FAADC" w:sz="6"/>
              <w:bottom w:val="single" w:color="8FAADC" w:sz="6"/>
              <w:right w:val="single" w:color="8FAADC" w:sz="6"/>
            </w:tcBorders>
            <w:shd w:fill="FFE699" w:val="clear"/>
            <w:tcMar>
              <w:top w:type="dxa" w:w="80"/>
              <w:left w:type="dxa" w:w="120"/>
              <w:bottom w:type="dxa" w:w="80"/>
              <w:right w:type="dxa" w:w="120"/>
            </w:tcMar>
            <w:vAlign w:val="center"/>
          </w:tcPr>
          <w:p>
            <w:pPr>
              <w:bidi/>
              <w:jc w:val="center"/>
            </w:pPr>
            <w:r>
              <w:rPr>
                <w:rFonts w:ascii="Arial" w:cs="Arial" w:eastAsia="Arial" w:hAnsi="Arial"/>
                <w:b/>
                <w:bCs/>
                <w:color w:val="000000"/>
                <w:sz w:val="22"/>
                <w:szCs w:val="22"/>
                <w:rtl/>
              </w:rPr>
              <w:t xml:space="preserve">—</w:t>
            </w:r>
          </w:p>
        </w:tc>
      </w:tr>
    </w:tbl>
    <w:p>
      <w:pPr>
        <w:pStyle w:val="Heading1"/>
        <w:pageBreakBefore/>
        <w:bidi/>
        <w:spacing w:after="200" w:before="360"/>
        <w:jc w:val="right"/>
      </w:pPr>
      <w:r>
        <w:rPr>
          <w:rFonts w:ascii="Arial" w:cs="Arial" w:eastAsia="Arial" w:hAnsi="Arial"/>
          <w:b/>
          <w:bCs/>
          <w:color w:val="1F4E79"/>
          <w:sz w:val="36"/>
          <w:szCs w:val="36"/>
          <w:rtl/>
        </w:rPr>
        <w:t xml:space="preserve">17. التوصيات والخاتمة</w:t>
      </w:r>
    </w:p>
    <w:p>
      <w:pPr>
        <w:pStyle w:val="Heading2"/>
        <w:bidi/>
        <w:spacing w:after="140" w:before="240"/>
        <w:jc w:val="right"/>
      </w:pPr>
      <w:r>
        <w:rPr>
          <w:rFonts w:ascii="Arial" w:cs="Arial" w:eastAsia="Arial" w:hAnsi="Arial"/>
          <w:b/>
          <w:bCs/>
          <w:color w:val="2E75B6"/>
          <w:sz w:val="30"/>
          <w:szCs w:val="30"/>
          <w:rtl/>
        </w:rPr>
        <w:t xml:space="preserve">17.1 التوصيات العامة</w:t>
      </w:r>
    </w:p>
    <w:p>
      <w:pPr>
        <w:pStyle w:val="ListParagraph"/>
        <w:numPr>
          <w:ilvl w:val="0"/>
          <w:numId w:val="8"/>
        </w:numPr>
        <w:bidi/>
        <w:spacing w:after="40" w:before="40" w:line="320"/>
        <w:jc w:val="right"/>
      </w:pPr>
      <w:r>
        <w:rPr>
          <w:rFonts w:ascii="Arial" w:cs="Arial" w:eastAsia="Arial" w:hAnsi="Arial"/>
          <w:sz w:val="24"/>
          <w:szCs w:val="24"/>
          <w:rtl/>
        </w:rPr>
        <w:t xml:space="preserve">اعتماد إنشاء مرفق ترفيهي عائلي بلدي مفتوح كأحد المشاريع التطويرية لشعبة تجميل المدينة في الموسم القادم.</w:t>
      </w:r>
    </w:p>
    <w:p>
      <w:pPr>
        <w:pStyle w:val="ListParagraph"/>
        <w:numPr>
          <w:ilvl w:val="0"/>
          <w:numId w:val="8"/>
        </w:numPr>
        <w:bidi/>
        <w:spacing w:after="40" w:before="40" w:line="320"/>
        <w:jc w:val="right"/>
      </w:pPr>
      <w:r>
        <w:rPr>
          <w:rFonts w:ascii="Arial" w:cs="Arial" w:eastAsia="Arial" w:hAnsi="Arial"/>
          <w:sz w:val="24"/>
          <w:szCs w:val="24"/>
          <w:rtl/>
        </w:rPr>
        <w:t xml:space="preserve">اختيار الخيار الثاني (1000 م²) بمواصفات قياسية في حال توفّر المساحة والميزانية، أو الخيار الأول (500 م²) بمواصفات قياسية كمرحلة أولى قابلة للتوسعة.</w:t>
      </w:r>
    </w:p>
    <w:p>
      <w:pPr>
        <w:pStyle w:val="ListParagraph"/>
        <w:numPr>
          <w:ilvl w:val="0"/>
          <w:numId w:val="8"/>
        </w:numPr>
        <w:bidi/>
        <w:spacing w:after="40" w:before="40" w:line="320"/>
        <w:jc w:val="right"/>
      </w:pPr>
      <w:r>
        <w:rPr>
          <w:rFonts w:ascii="Arial" w:cs="Arial" w:eastAsia="Arial" w:hAnsi="Arial"/>
          <w:sz w:val="24"/>
          <w:szCs w:val="24"/>
          <w:rtl/>
        </w:rPr>
        <w:t xml:space="preserve">توظيف كوادر شعبة تجميل المدينة في تنفيذ كافة الأعمال الميدانية واليدوية الواردة في الفقرة (10)، وقد يقلل ذلك (25% – 35%) من إجمالي الكلفة.</w:t>
      </w:r>
    </w:p>
    <w:p>
      <w:pPr>
        <w:pStyle w:val="ListParagraph"/>
        <w:numPr>
          <w:ilvl w:val="0"/>
          <w:numId w:val="8"/>
        </w:numPr>
        <w:bidi/>
        <w:spacing w:after="40" w:before="40" w:line="320"/>
        <w:jc w:val="right"/>
      </w:pPr>
      <w:r>
        <w:rPr>
          <w:rFonts w:ascii="Arial" w:cs="Arial" w:eastAsia="Arial" w:hAnsi="Arial"/>
          <w:sz w:val="24"/>
          <w:szCs w:val="24"/>
          <w:rtl/>
        </w:rPr>
        <w:t xml:space="preserve">إحالة الفقرات التخصصية (CNC، اللوحات، الديكور، الهوية البصرية، الجلسات المخصصة، أعمال الأكريليك والخشب والمعادن الخفيفة) إلى ورش محلية مؤهَّلة وفق الضوابط والتعليمات.</w:t>
      </w:r>
    </w:p>
    <w:p>
      <w:pPr>
        <w:pStyle w:val="ListParagraph"/>
        <w:numPr>
          <w:ilvl w:val="0"/>
          <w:numId w:val="8"/>
        </w:numPr>
        <w:bidi/>
        <w:spacing w:after="40" w:before="40" w:line="320"/>
        <w:jc w:val="right"/>
      </w:pPr>
      <w:r>
        <w:rPr>
          <w:rFonts w:ascii="Arial" w:cs="Arial" w:eastAsia="Arial" w:hAnsi="Arial"/>
          <w:sz w:val="24"/>
          <w:szCs w:val="24"/>
          <w:rtl/>
        </w:rPr>
        <w:t xml:space="preserve">شراء التجهيزات الرياضية الرئيسية (ملاعب البادل، البولينغ، الإنارة الاحترافية، الكاميرات) بصورة مباشرة بمواصفات معتمدة.</w:t>
      </w:r>
    </w:p>
    <w:p>
      <w:pPr>
        <w:pStyle w:val="ListParagraph"/>
        <w:numPr>
          <w:ilvl w:val="0"/>
          <w:numId w:val="8"/>
        </w:numPr>
        <w:bidi/>
        <w:spacing w:after="40" w:before="40" w:line="320"/>
        <w:jc w:val="right"/>
      </w:pPr>
      <w:r>
        <w:rPr>
          <w:rFonts w:ascii="Arial" w:cs="Arial" w:eastAsia="Arial" w:hAnsi="Arial"/>
          <w:sz w:val="24"/>
          <w:szCs w:val="24"/>
          <w:rtl/>
        </w:rPr>
        <w:t xml:space="preserve">تخصيص بند احتياط بنسبة 10% من الكلفة الكلية لمعالجة فروقات الأسعار وأي بنود غير محسوبة.</w:t>
      </w:r>
    </w:p>
    <w:p>
      <w:pPr>
        <w:pStyle w:val="ListParagraph"/>
        <w:numPr>
          <w:ilvl w:val="0"/>
          <w:numId w:val="8"/>
        </w:numPr>
        <w:bidi/>
        <w:spacing w:after="40" w:before="40" w:line="320"/>
        <w:jc w:val="right"/>
      </w:pPr>
      <w:r>
        <w:rPr>
          <w:rFonts w:ascii="Arial" w:cs="Arial" w:eastAsia="Arial" w:hAnsi="Arial"/>
          <w:sz w:val="24"/>
          <w:szCs w:val="24"/>
          <w:rtl/>
        </w:rPr>
        <w:t xml:space="preserve">اعتماد نموذج تشغيل مختلط: العناصر العامة (الجلسات، النافورات، الجري، التشجير) بإدارة بلدية مباشرة بدون رسوم، والعناصر الترفيهية (البادل، البولينغ، الكافيه/المطعم) عبر إيجار أو مشاركة إيراد.</w:t>
      </w:r>
    </w:p>
    <w:p>
      <w:pPr>
        <w:pStyle w:val="ListParagraph"/>
        <w:numPr>
          <w:ilvl w:val="0"/>
          <w:numId w:val="8"/>
        </w:numPr>
        <w:bidi/>
        <w:spacing w:after="40" w:before="40" w:line="320"/>
        <w:jc w:val="right"/>
      </w:pPr>
      <w:r>
        <w:rPr>
          <w:rFonts w:ascii="Arial" w:cs="Arial" w:eastAsia="Arial" w:hAnsi="Arial"/>
          <w:sz w:val="24"/>
          <w:szCs w:val="24"/>
          <w:rtl/>
        </w:rPr>
        <w:t xml:space="preserve">توثيق المشروع بالكامل (صور، مخططات، محاضر) بحيث يكون نموذجاً قابلاً للتكرار في مواقع أخرى من المحافظة.</w:t>
      </w:r>
    </w:p>
    <w:p>
      <w:pPr>
        <w:pStyle w:val="Heading2"/>
        <w:bidi/>
        <w:spacing w:after="140" w:before="240"/>
        <w:jc w:val="right"/>
      </w:pPr>
      <w:r>
        <w:rPr>
          <w:rFonts w:ascii="Arial" w:cs="Arial" w:eastAsia="Arial" w:hAnsi="Arial"/>
          <w:b/>
          <w:bCs/>
          <w:color w:val="2E75B6"/>
          <w:sz w:val="30"/>
          <w:szCs w:val="30"/>
          <w:rtl/>
        </w:rPr>
        <w:t xml:space="preserve">17.2 الفوائد المتوقعة</w:t>
      </w:r>
    </w:p>
    <w:p>
      <w:pPr>
        <w:pStyle w:val="ListParagraph"/>
        <w:numPr>
          <w:ilvl w:val="0"/>
          <w:numId w:val="2"/>
        </w:numPr>
        <w:bidi/>
        <w:spacing w:after="40" w:before="40" w:line="320"/>
        <w:jc w:val="right"/>
      </w:pPr>
      <w:r>
        <w:rPr>
          <w:rFonts w:ascii="Arial" w:cs="Arial" w:eastAsia="Arial" w:hAnsi="Arial"/>
          <w:sz w:val="24"/>
          <w:szCs w:val="24"/>
          <w:rtl/>
        </w:rPr>
        <w:t xml:space="preserve">توفير متنفس عائلي بلدي مفتوح يخدم العوائل ضمن النطاق الجغرافي للمشروع.</w:t>
      </w:r>
    </w:p>
    <w:p>
      <w:pPr>
        <w:pStyle w:val="ListParagraph"/>
        <w:numPr>
          <w:ilvl w:val="0"/>
          <w:numId w:val="2"/>
        </w:numPr>
        <w:bidi/>
        <w:spacing w:after="40" w:before="40" w:line="320"/>
        <w:jc w:val="right"/>
      </w:pPr>
      <w:r>
        <w:rPr>
          <w:rFonts w:ascii="Arial" w:cs="Arial" w:eastAsia="Arial" w:hAnsi="Arial"/>
          <w:sz w:val="24"/>
          <w:szCs w:val="24"/>
          <w:rtl/>
        </w:rPr>
        <w:t xml:space="preserve">رفع جودة الواجهة الحضرية للمدينة في المنطقة المحيطة.</w:t>
      </w:r>
    </w:p>
    <w:p>
      <w:pPr>
        <w:pStyle w:val="ListParagraph"/>
        <w:numPr>
          <w:ilvl w:val="0"/>
          <w:numId w:val="2"/>
        </w:numPr>
        <w:bidi/>
        <w:spacing w:after="40" w:before="40" w:line="320"/>
        <w:jc w:val="right"/>
      </w:pPr>
      <w:r>
        <w:rPr>
          <w:rFonts w:ascii="Arial" w:cs="Arial" w:eastAsia="Arial" w:hAnsi="Arial"/>
          <w:sz w:val="24"/>
          <w:szCs w:val="24"/>
          <w:rtl/>
        </w:rPr>
        <w:t xml:space="preserve">استثمار قطعة أرض بلدية كانت غير مستثمرة بأسلوب مدروس.</w:t>
      </w:r>
    </w:p>
    <w:p>
      <w:pPr>
        <w:pStyle w:val="ListParagraph"/>
        <w:numPr>
          <w:ilvl w:val="0"/>
          <w:numId w:val="2"/>
        </w:numPr>
        <w:bidi/>
        <w:spacing w:after="40" w:before="40" w:line="320"/>
        <w:jc w:val="right"/>
      </w:pPr>
      <w:r>
        <w:rPr>
          <w:rFonts w:ascii="Arial" w:cs="Arial" w:eastAsia="Arial" w:hAnsi="Arial"/>
          <w:sz w:val="24"/>
          <w:szCs w:val="24"/>
          <w:rtl/>
        </w:rPr>
        <w:t xml:space="preserve">تعزيز الإيراد البلدي من خلال نموذج تشغيل متوازن.</w:t>
      </w:r>
    </w:p>
    <w:p>
      <w:pPr>
        <w:pStyle w:val="ListParagraph"/>
        <w:numPr>
          <w:ilvl w:val="0"/>
          <w:numId w:val="2"/>
        </w:numPr>
        <w:bidi/>
        <w:spacing w:after="40" w:before="40" w:line="320"/>
        <w:jc w:val="right"/>
      </w:pPr>
      <w:r>
        <w:rPr>
          <w:rFonts w:ascii="Arial" w:cs="Arial" w:eastAsia="Arial" w:hAnsi="Arial"/>
          <w:sz w:val="24"/>
          <w:szCs w:val="24"/>
          <w:rtl/>
        </w:rPr>
        <w:t xml:space="preserve">تطوير قدرات شعبة تجميل المدينة في إدارة المشاريع المتكاملة.</w:t>
      </w:r>
    </w:p>
    <w:p>
      <w:pPr>
        <w:pStyle w:val="ListParagraph"/>
        <w:numPr>
          <w:ilvl w:val="0"/>
          <w:numId w:val="2"/>
        </w:numPr>
        <w:bidi/>
        <w:spacing w:after="40" w:before="40" w:line="320"/>
        <w:jc w:val="right"/>
      </w:pPr>
      <w:r>
        <w:rPr>
          <w:rFonts w:ascii="Arial" w:cs="Arial" w:eastAsia="Arial" w:hAnsi="Arial"/>
          <w:sz w:val="24"/>
          <w:szCs w:val="24"/>
          <w:rtl/>
        </w:rPr>
        <w:t xml:space="preserve">دعم الورش المحلية والاقتصاد المحلي.</w:t>
      </w:r>
    </w:p>
    <w:p>
      <w:pPr>
        <w:pStyle w:val="ListParagraph"/>
        <w:numPr>
          <w:ilvl w:val="0"/>
          <w:numId w:val="2"/>
        </w:numPr>
        <w:bidi/>
        <w:spacing w:after="40" w:before="40" w:line="320"/>
        <w:jc w:val="right"/>
      </w:pPr>
      <w:r>
        <w:rPr>
          <w:rFonts w:ascii="Arial" w:cs="Arial" w:eastAsia="Arial" w:hAnsi="Arial"/>
          <w:sz w:val="24"/>
          <w:szCs w:val="24"/>
          <w:rtl/>
        </w:rPr>
        <w:t xml:space="preserve">بناء نموذج تجريبي ناجح قابل للتعميم في مواقع أخرى.</w:t>
      </w:r>
    </w:p>
    <w:p>
      <w:pPr>
        <w:pStyle w:val="Heading2"/>
        <w:bidi/>
        <w:spacing w:after="140" w:before="240"/>
        <w:jc w:val="right"/>
      </w:pPr>
      <w:r>
        <w:rPr>
          <w:rFonts w:ascii="Arial" w:cs="Arial" w:eastAsia="Arial" w:hAnsi="Arial"/>
          <w:b/>
          <w:bCs/>
          <w:color w:val="2E75B6"/>
          <w:sz w:val="30"/>
          <w:szCs w:val="30"/>
          <w:rtl/>
        </w:rPr>
        <w:t xml:space="preserve">17.3 الخاتمة</w:t>
      </w:r>
    </w:p>
    <w:p>
      <w:pPr>
        <w:bidi/>
        <w:spacing w:after="80" w:before="80" w:line="360"/>
        <w:jc w:val="both"/>
      </w:pPr>
      <w:r>
        <w:rPr>
          <w:rFonts w:ascii="Arial" w:cs="Arial" w:eastAsia="Arial" w:hAnsi="Arial"/>
          <w:b w:val="false"/>
          <w:bCs w:val="false"/>
          <w:color w:val="000000"/>
          <w:sz w:val="24"/>
          <w:szCs w:val="24"/>
          <w:rtl/>
        </w:rPr>
        <w:t xml:space="preserve">تُؤمن شعبة تجميل المدينة بأن إقامة هذا المرفق العائلي البلدي المفتوح يمثّل خطوة عملية ضمن مسار تطوير المساحات العامة في المحافظة، وأنّ الكلفة المتوقَّعة بعد احتساب مساهمة كوادر الشعبة تجعل المشروع ضمن المتناول المالي للبلدية، دون إخلال بجودة المخرجات أو الطابع البلدي العائلي المنشود.</w:t>
      </w:r>
    </w:p>
    <w:p>
      <w:pPr>
        <w:bidi/>
        <w:spacing w:after="80" w:before="80" w:line="360"/>
        <w:jc w:val="both"/>
      </w:pPr>
      <w:r>
        <w:rPr>
          <w:rFonts w:ascii="Arial" w:cs="Arial" w:eastAsia="Arial" w:hAnsi="Arial"/>
          <w:b w:val="false"/>
          <w:bCs w:val="false"/>
          <w:color w:val="000000"/>
          <w:sz w:val="24"/>
          <w:szCs w:val="24"/>
          <w:rtl/>
        </w:rPr>
        <w:t xml:space="preserve">كما تؤكّد الشعبة جاهزيتها التامة للمضيّ بالمراحل التحضيرية فور صدور الموافقة المبدئية للسيد المدير العام، تمهيداً لتشكيل اللجنة الفنية المشتركة، وإعداد الكشف التفصيلي والمخططات النهائية، ومتابعة التنفيذ على مراحله المختلفة.</w:t>
      </w:r>
    </w:p>
    <w:p>
      <w:pPr>
        <w:bidi/>
        <w:spacing w:after="80" w:before="80" w:line="360"/>
        <w:jc w:val="both"/>
      </w:pPr>
      <w:r>
        <w:rPr>
          <w:rFonts w:ascii="Arial" w:cs="Arial" w:eastAsia="Arial" w:hAnsi="Arial"/>
          <w:b w:val="false"/>
          <w:bCs w:val="false"/>
          <w:color w:val="000000"/>
          <w:sz w:val="24"/>
          <w:szCs w:val="24"/>
          <w:rtl/>
        </w:rPr>
        <w:t xml:space="preserve">ومن الله التوفيق.</w:t>
      </w:r>
    </w:p>
    <w:p>
      <w:pPr>
        <w:spacing w:after="400" w:before="400"/>
      </w:pPr>
    </w:p>
    <w:p>
      <w:pPr>
        <w:bidi/>
        <w:spacing w:after="60" w:before="60" w:line="320"/>
        <w:jc w:val="center"/>
      </w:pPr>
      <w:r>
        <w:rPr>
          <w:rFonts w:ascii="Arial" w:cs="Arial" w:eastAsia="Arial" w:hAnsi="Arial"/>
          <w:b/>
          <w:bCs/>
          <w:color w:val="1F4E79"/>
          <w:sz w:val="28"/>
          <w:szCs w:val="28"/>
          <w:rtl/>
        </w:rPr>
        <w:t xml:space="preserve">شعبة تجميل المدينة</w:t>
      </w:r>
    </w:p>
    <w:p>
      <w:pPr>
        <w:bidi/>
        <w:spacing w:after="60" w:before="60" w:line="320"/>
        <w:jc w:val="center"/>
      </w:pPr>
      <w:r>
        <w:rPr>
          <w:rFonts w:ascii="Arial" w:cs="Arial" w:eastAsia="Arial" w:hAnsi="Arial"/>
          <w:b w:val="false"/>
          <w:bCs w:val="false"/>
          <w:color w:val="000000"/>
          <w:sz w:val="24"/>
          <w:szCs w:val="24"/>
          <w:rtl/>
        </w:rPr>
        <w:t xml:space="preserve">مديرية بلدية البصرة</w:t>
      </w:r>
    </w:p>
    <w:p>
      <w:pPr>
        <w:pStyle w:val="Heading1"/>
        <w:pageBreakBefore/>
        <w:bidi/>
        <w:spacing w:after="200" w:before="360"/>
        <w:jc w:val="right"/>
      </w:pPr>
      <w:r>
        <w:rPr>
          <w:rFonts w:ascii="Arial" w:cs="Arial" w:eastAsia="Arial" w:hAnsi="Arial"/>
          <w:b/>
          <w:bCs/>
          <w:color w:val="1F4E79"/>
          <w:sz w:val="36"/>
          <w:szCs w:val="36"/>
          <w:rtl/>
        </w:rPr>
        <w:t xml:space="preserve">الملاحق</w:t>
      </w:r>
    </w:p>
    <w:p>
      <w:pPr>
        <w:pStyle w:val="Heading2"/>
        <w:bidi/>
        <w:spacing w:after="140" w:before="240"/>
        <w:jc w:val="right"/>
      </w:pPr>
      <w:r>
        <w:rPr>
          <w:rFonts w:ascii="Arial" w:cs="Arial" w:eastAsia="Arial" w:hAnsi="Arial"/>
          <w:b/>
          <w:bCs/>
          <w:color w:val="2E75B6"/>
          <w:sz w:val="30"/>
          <w:szCs w:val="30"/>
          <w:rtl/>
        </w:rPr>
        <w:t xml:space="preserve">الملحق (أ): المواصفات التفصيلية لكل وحدة بحسب الدرجة</w:t>
      </w:r>
    </w:p>
    <w:p>
      <w:pPr>
        <w:pStyle w:val="Heading3"/>
        <w:bidi/>
        <w:spacing w:after="100" w:before="180"/>
        <w:jc w:val="right"/>
      </w:pPr>
      <w:r>
        <w:rPr>
          <w:rFonts w:ascii="Arial" w:cs="Arial" w:eastAsia="Arial" w:hAnsi="Arial"/>
          <w:b/>
          <w:bCs/>
          <w:color w:val="1F4E79"/>
          <w:sz w:val="26"/>
          <w:szCs w:val="26"/>
          <w:rtl/>
        </w:rPr>
        <w:t xml:space="preserve">ملعب البادل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trPr>
        <w:tc>
          <w:tcPr>
            <w:tcW w:type="dxa" w:w="26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البند</w:t>
            </w:r>
          </w:p>
        </w:tc>
        <w:tc>
          <w:tcPr>
            <w:tcW w:type="dxa" w:w="22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اقتصادي</w:t>
            </w:r>
          </w:p>
        </w:tc>
        <w:tc>
          <w:tcPr>
            <w:tcW w:type="dxa" w:w="22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قياسي</w:t>
            </w:r>
          </w:p>
        </w:tc>
        <w:tc>
          <w:tcPr>
            <w:tcW w:type="dxa" w:w="22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فخم</w:t>
            </w:r>
          </w:p>
        </w:tc>
      </w:tr>
      <w:tr>
        <w:tc>
          <w:tcPr>
            <w:tcW w:type="dxa" w:w="2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الزجاج</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زجاج 10 ملم</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زجاج 10/12 ملم محسَّن</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زجاج عالي + إطار قوي</w:t>
            </w:r>
          </w:p>
        </w:tc>
      </w:tr>
      <w:tr>
        <w:tc>
          <w:tcPr>
            <w:tcW w:type="dxa" w:w="26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الهيكل المعدني</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عادي</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أفضل</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احترافي عالي</w:t>
            </w:r>
          </w:p>
        </w:tc>
      </w:tr>
      <w:tr>
        <w:tc>
          <w:tcPr>
            <w:tcW w:type="dxa" w:w="2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العشب الصناعي</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متوسط</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رياضي</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رياضي عالي + رمل سيليكا فاخر</w:t>
            </w:r>
          </w:p>
        </w:tc>
      </w:tr>
      <w:tr>
        <w:tc>
          <w:tcPr>
            <w:tcW w:type="dxa" w:w="26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الإنارة</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عادية</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قوية</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احترافية مع حساب لوكس</w:t>
            </w:r>
          </w:p>
        </w:tc>
      </w:tr>
      <w:tr>
        <w:tc>
          <w:tcPr>
            <w:tcW w:type="dxa" w:w="2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الأرضية</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أساس بسيط</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تصريف وتسوية أعلى</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تشطيب فاخر + ممرات تجميلية</w:t>
            </w:r>
          </w:p>
        </w:tc>
      </w:tr>
    </w:tbl>
    <w:p>
      <w:pPr>
        <w:spacing w:after="200" w:before="200"/>
      </w:pPr>
    </w:p>
    <w:p>
      <w:pPr>
        <w:pStyle w:val="Heading3"/>
        <w:bidi/>
        <w:spacing w:after="100" w:before="180"/>
        <w:jc w:val="right"/>
      </w:pPr>
      <w:r>
        <w:rPr>
          <w:rFonts w:ascii="Arial" w:cs="Arial" w:eastAsia="Arial" w:hAnsi="Arial"/>
          <w:b/>
          <w:bCs/>
          <w:color w:val="1F4E79"/>
          <w:sz w:val="26"/>
          <w:szCs w:val="26"/>
          <w:rtl/>
        </w:rPr>
        <w:t xml:space="preserve">البولينغ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trPr>
        <w:tc>
          <w:tcPr>
            <w:tcW w:type="dxa" w:w="26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البند</w:t>
            </w:r>
          </w:p>
        </w:tc>
        <w:tc>
          <w:tcPr>
            <w:tcW w:type="dxa" w:w="22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اقتصادي</w:t>
            </w:r>
          </w:p>
        </w:tc>
        <w:tc>
          <w:tcPr>
            <w:tcW w:type="dxa" w:w="22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قياسي</w:t>
            </w:r>
          </w:p>
        </w:tc>
        <w:tc>
          <w:tcPr>
            <w:tcW w:type="dxa" w:w="22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فخم</w:t>
            </w:r>
          </w:p>
        </w:tc>
      </w:tr>
      <w:tr>
        <w:tc>
          <w:tcPr>
            <w:tcW w:type="dxa" w:w="2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نوع المسارات</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ترفيهي مصغّر</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Compact أفضل</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Compact احترافي</w:t>
            </w:r>
          </w:p>
        </w:tc>
      </w:tr>
      <w:tr>
        <w:tc>
          <w:tcPr>
            <w:tcW w:type="dxa" w:w="26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نظام الـ scoring</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يدوي / بسيط</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إلكتروني بسيط</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إلكتروني متقدم</w:t>
            </w:r>
          </w:p>
        </w:tc>
      </w:tr>
      <w:tr>
        <w:tc>
          <w:tcPr>
            <w:tcW w:type="dxa" w:w="2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الأرضية</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خشب صناعي بسيط</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خشب صناعي ممتاز</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أرضية احترافية</w:t>
            </w:r>
          </w:p>
        </w:tc>
      </w:tr>
      <w:tr>
        <w:tc>
          <w:tcPr>
            <w:tcW w:type="dxa" w:w="26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الإنارة والتزيين</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عادية</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موجهة</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احترافية + ديكور</w:t>
            </w:r>
          </w:p>
        </w:tc>
      </w:tr>
    </w:tbl>
    <w:p>
      <w:pPr>
        <w:spacing w:after="200" w:before="200"/>
      </w:pPr>
    </w:p>
    <w:p>
      <w:pPr>
        <w:pStyle w:val="Heading3"/>
        <w:bidi/>
        <w:spacing w:after="100" w:before="180"/>
        <w:jc w:val="right"/>
      </w:pPr>
      <w:r>
        <w:rPr>
          <w:rFonts w:ascii="Arial" w:cs="Arial" w:eastAsia="Arial" w:hAnsi="Arial"/>
          <w:b/>
          <w:bCs/>
          <w:color w:val="1F4E79"/>
          <w:sz w:val="26"/>
          <w:szCs w:val="26"/>
          <w:rtl/>
        </w:rPr>
        <w:t xml:space="preserve">الكافيه + المطعم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trPr>
        <w:tc>
          <w:tcPr>
            <w:tcW w:type="dxa" w:w="26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البند</w:t>
            </w:r>
          </w:p>
        </w:tc>
        <w:tc>
          <w:tcPr>
            <w:tcW w:type="dxa" w:w="22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اقتصادي</w:t>
            </w:r>
          </w:p>
        </w:tc>
        <w:tc>
          <w:tcPr>
            <w:tcW w:type="dxa" w:w="22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قياسي</w:t>
            </w:r>
          </w:p>
        </w:tc>
        <w:tc>
          <w:tcPr>
            <w:tcW w:type="dxa" w:w="22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فخم</w:t>
            </w:r>
          </w:p>
        </w:tc>
      </w:tr>
      <w:tr>
        <w:tc>
          <w:tcPr>
            <w:tcW w:type="dxa" w:w="2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البناء</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جدران بسيطة</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جدران + واجهة جيدة</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واجهة فاخرة + داخلي مرتب</w:t>
            </w:r>
          </w:p>
        </w:tc>
      </w:tr>
      <w:tr>
        <w:tc>
          <w:tcPr>
            <w:tcW w:type="dxa" w:w="26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التجهيزات</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أساسية</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كاملة</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احترافية</w:t>
            </w:r>
          </w:p>
        </w:tc>
      </w:tr>
      <w:tr>
        <w:tc>
          <w:tcPr>
            <w:tcW w:type="dxa" w:w="26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الجلسات</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خفيفة</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متوسطة</w:t>
            </w:r>
          </w:p>
        </w:tc>
        <w:tc>
          <w:tcPr>
            <w:tcW w:type="dxa" w:w="22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تصاميم خاصة</w:t>
            </w:r>
          </w:p>
        </w:tc>
      </w:tr>
      <w:tr>
        <w:tc>
          <w:tcPr>
            <w:tcW w:type="dxa" w:w="26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التبريد والتهوية</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عادي</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جيد</w:t>
            </w:r>
          </w:p>
        </w:tc>
        <w:tc>
          <w:tcPr>
            <w:tcW w:type="dxa" w:w="22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ممتاز</w:t>
            </w:r>
          </w:p>
        </w:tc>
      </w:tr>
    </w:tbl>
    <w:p>
      <w:pPr>
        <w:pStyle w:val="Heading2"/>
        <w:bidi/>
        <w:spacing w:after="140" w:before="240"/>
        <w:jc w:val="right"/>
      </w:pPr>
      <w:r>
        <w:rPr>
          <w:rFonts w:ascii="Arial" w:cs="Arial" w:eastAsia="Arial" w:hAnsi="Arial"/>
          <w:b/>
          <w:bCs/>
          <w:color w:val="2E75B6"/>
          <w:sz w:val="30"/>
          <w:szCs w:val="30"/>
          <w:rtl/>
        </w:rPr>
        <w:t xml:space="preserve">الملحق (ب): قائمة الأعمال التي تنفّذها كوادر شعبة تجميل المدينة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w:t>
            </w:r>
          </w:p>
        </w:tc>
        <w:tc>
          <w:tcPr>
            <w:tcW w:type="dxa" w:w="826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الفقرة</w:t>
            </w:r>
          </w:p>
        </w:tc>
      </w:tr>
      <w:tr>
        <w:tc>
          <w:tcPr>
            <w:tcW w:type="dxa" w:w="11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1</w:t>
            </w:r>
          </w:p>
        </w:tc>
        <w:tc>
          <w:tcPr>
            <w:tcW w:type="dxa" w:w="82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تنظيف الموقع وإزالة التجاوزات</w:t>
            </w:r>
          </w:p>
        </w:tc>
      </w:tr>
      <w:tr>
        <w:tc>
          <w:tcPr>
            <w:tcW w:type="dxa" w:w="11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2</w:t>
            </w:r>
          </w:p>
        </w:tc>
        <w:tc>
          <w:tcPr>
            <w:tcW w:type="dxa" w:w="82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أعمال التسوية والحفر والردم والحدل</w:t>
            </w:r>
          </w:p>
        </w:tc>
      </w:tr>
      <w:tr>
        <w:tc>
          <w:tcPr>
            <w:tcW w:type="dxa" w:w="11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3</w:t>
            </w:r>
          </w:p>
        </w:tc>
        <w:tc>
          <w:tcPr>
            <w:tcW w:type="dxa" w:w="82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تنفيذ الأرضيات والممرات والكربستون</w:t>
            </w:r>
          </w:p>
        </w:tc>
      </w:tr>
      <w:tr>
        <w:tc>
          <w:tcPr>
            <w:tcW w:type="dxa" w:w="11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4</w:t>
            </w:r>
          </w:p>
        </w:tc>
        <w:tc>
          <w:tcPr>
            <w:tcW w:type="dxa" w:w="82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تنفيذ مسار الجري بأرضية بسيطة</w:t>
            </w:r>
          </w:p>
        </w:tc>
      </w:tr>
      <w:tr>
        <w:tc>
          <w:tcPr>
            <w:tcW w:type="dxa" w:w="11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5</w:t>
            </w:r>
          </w:p>
        </w:tc>
        <w:tc>
          <w:tcPr>
            <w:tcW w:type="dxa" w:w="82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الباركنك المائل وعلاماته الأرضية</w:t>
            </w:r>
          </w:p>
        </w:tc>
      </w:tr>
      <w:tr>
        <w:tc>
          <w:tcPr>
            <w:tcW w:type="dxa" w:w="11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6</w:t>
            </w:r>
          </w:p>
        </w:tc>
        <w:tc>
          <w:tcPr>
            <w:tcW w:type="dxa" w:w="82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التشجير الديكوري وتجهيز التربة الزراعية</w:t>
            </w:r>
          </w:p>
        </w:tc>
      </w:tr>
      <w:tr>
        <w:tc>
          <w:tcPr>
            <w:tcW w:type="dxa" w:w="11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7</w:t>
            </w:r>
          </w:p>
        </w:tc>
        <w:tc>
          <w:tcPr>
            <w:tcW w:type="dxa" w:w="82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نصب وتركيب المسقفات الخفيفة (Pergola, Sails)</w:t>
            </w:r>
          </w:p>
        </w:tc>
      </w:tr>
      <w:tr>
        <w:tc>
          <w:tcPr>
            <w:tcW w:type="dxa" w:w="11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8</w:t>
            </w:r>
          </w:p>
        </w:tc>
        <w:tc>
          <w:tcPr>
            <w:tcW w:type="dxa" w:w="82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نصب الجلسات العائلية والنافورات ومواقف الدراجات</w:t>
            </w:r>
          </w:p>
        </w:tc>
      </w:tr>
      <w:tr>
        <w:tc>
          <w:tcPr>
            <w:tcW w:type="dxa" w:w="11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9</w:t>
            </w:r>
          </w:p>
        </w:tc>
        <w:tc>
          <w:tcPr>
            <w:tcW w:type="dxa" w:w="82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الإنارة العامة (تمديدات، أعمدة، كشافات قياسية)</w:t>
            </w:r>
          </w:p>
        </w:tc>
      </w:tr>
      <w:tr>
        <w:tc>
          <w:tcPr>
            <w:tcW w:type="dxa" w:w="11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10</w:t>
            </w:r>
          </w:p>
        </w:tc>
        <w:tc>
          <w:tcPr>
            <w:tcW w:type="dxa" w:w="82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الكهرباء الخدمية وتمديدات الماء والصرف البسيط</w:t>
            </w:r>
          </w:p>
        </w:tc>
      </w:tr>
      <w:tr>
        <w:tc>
          <w:tcPr>
            <w:tcW w:type="dxa" w:w="11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11</w:t>
            </w:r>
          </w:p>
        </w:tc>
        <w:tc>
          <w:tcPr>
            <w:tcW w:type="dxa" w:w="82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نظام الري بالتنقيط ومحابس التحكم</w:t>
            </w:r>
          </w:p>
        </w:tc>
      </w:tr>
      <w:tr>
        <w:tc>
          <w:tcPr>
            <w:tcW w:type="dxa" w:w="11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12</w:t>
            </w:r>
          </w:p>
        </w:tc>
        <w:tc>
          <w:tcPr>
            <w:tcW w:type="dxa" w:w="82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أعمال الصبغ والتخطيط الأرضي</w:t>
            </w:r>
          </w:p>
        </w:tc>
      </w:tr>
      <w:tr>
        <w:tc>
          <w:tcPr>
            <w:tcW w:type="dxa" w:w="11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13</w:t>
            </w:r>
          </w:p>
        </w:tc>
        <w:tc>
          <w:tcPr>
            <w:tcW w:type="dxa" w:w="82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التنظيف النهائي وأعمال التجميل البصري الختامية</w:t>
            </w:r>
          </w:p>
        </w:tc>
      </w:tr>
    </w:tbl>
    <w:p>
      <w:pPr>
        <w:pStyle w:val="Heading2"/>
        <w:bidi/>
        <w:spacing w:after="140" w:before="240"/>
        <w:jc w:val="right"/>
      </w:pPr>
      <w:r>
        <w:rPr>
          <w:rFonts w:ascii="Arial" w:cs="Arial" w:eastAsia="Arial" w:hAnsi="Arial"/>
          <w:b/>
          <w:bCs/>
          <w:color w:val="2E75B6"/>
          <w:sz w:val="30"/>
          <w:szCs w:val="30"/>
          <w:rtl/>
        </w:rPr>
        <w:t xml:space="preserve">الملحق (ج): قائمة الأعمال التخصصية المُحالة للورش المحلية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w:t>
            </w:r>
          </w:p>
        </w:tc>
        <w:tc>
          <w:tcPr>
            <w:tcW w:type="dxa" w:w="826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الفقرة</w:t>
            </w:r>
          </w:p>
        </w:tc>
      </w:tr>
      <w:tr>
        <w:tc>
          <w:tcPr>
            <w:tcW w:type="dxa" w:w="11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1</w:t>
            </w:r>
          </w:p>
        </w:tc>
        <w:tc>
          <w:tcPr>
            <w:tcW w:type="dxa" w:w="82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اللوحات الإرشادية الداخلية والخارجية</w:t>
            </w:r>
          </w:p>
        </w:tc>
      </w:tr>
      <w:tr>
        <w:tc>
          <w:tcPr>
            <w:tcW w:type="dxa" w:w="11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2</w:t>
            </w:r>
          </w:p>
        </w:tc>
        <w:tc>
          <w:tcPr>
            <w:tcW w:type="dxa" w:w="82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الهوية البصرية الموحَّدة (شعار، خط، ألوان)</w:t>
            </w:r>
          </w:p>
        </w:tc>
      </w:tr>
      <w:tr>
        <w:tc>
          <w:tcPr>
            <w:tcW w:type="dxa" w:w="11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3</w:t>
            </w:r>
          </w:p>
        </w:tc>
        <w:tc>
          <w:tcPr>
            <w:tcW w:type="dxa" w:w="82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ديكورات واجهة الكافيه والمطعم</w:t>
            </w:r>
          </w:p>
        </w:tc>
      </w:tr>
      <w:tr>
        <w:tc>
          <w:tcPr>
            <w:tcW w:type="dxa" w:w="11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4</w:t>
            </w:r>
          </w:p>
        </w:tc>
        <w:tc>
          <w:tcPr>
            <w:tcW w:type="dxa" w:w="82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الجلسات المخصَّصة بتصاميم خاصة بالمشروع</w:t>
            </w:r>
          </w:p>
        </w:tc>
      </w:tr>
      <w:tr>
        <w:tc>
          <w:tcPr>
            <w:tcW w:type="dxa" w:w="11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5</w:t>
            </w:r>
          </w:p>
        </w:tc>
        <w:tc>
          <w:tcPr>
            <w:tcW w:type="dxa" w:w="82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عناصر التجميل الحضري والقواطع الديكورية</w:t>
            </w:r>
          </w:p>
        </w:tc>
      </w:tr>
      <w:tr>
        <w:tc>
          <w:tcPr>
            <w:tcW w:type="dxa" w:w="11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6</w:t>
            </w:r>
          </w:p>
        </w:tc>
        <w:tc>
          <w:tcPr>
            <w:tcW w:type="dxa" w:w="82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تصميم وتصنيع مواقف الدراجات</w:t>
            </w:r>
          </w:p>
        </w:tc>
      </w:tr>
      <w:tr>
        <w:tc>
          <w:tcPr>
            <w:tcW w:type="dxa" w:w="11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7</w:t>
            </w:r>
          </w:p>
        </w:tc>
        <w:tc>
          <w:tcPr>
            <w:tcW w:type="dxa" w:w="82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قاعدة نافورة الشرب وتكسيتها المعدنية</w:t>
            </w:r>
          </w:p>
        </w:tc>
      </w:tr>
      <w:tr>
        <w:tc>
          <w:tcPr>
            <w:tcW w:type="dxa" w:w="11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8</w:t>
            </w:r>
          </w:p>
        </w:tc>
        <w:tc>
          <w:tcPr>
            <w:tcW w:type="dxa" w:w="82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لوحات مسار الجري وعدّاد المسافة</w:t>
            </w:r>
          </w:p>
        </w:tc>
      </w:tr>
      <w:tr>
        <w:tc>
          <w:tcPr>
            <w:tcW w:type="dxa" w:w="11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9</w:t>
            </w:r>
          </w:p>
        </w:tc>
        <w:tc>
          <w:tcPr>
            <w:tcW w:type="dxa" w:w="82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لوحات تعريف ملاعب البادل والبولينغ</w:t>
            </w:r>
          </w:p>
        </w:tc>
      </w:tr>
      <w:tr>
        <w:tc>
          <w:tcPr>
            <w:tcW w:type="dxa" w:w="11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10</w:t>
            </w:r>
          </w:p>
        </w:tc>
        <w:tc>
          <w:tcPr>
            <w:tcW w:type="dxa" w:w="82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أعمال CNC وقص الليزر والفايبر</w:t>
            </w:r>
          </w:p>
        </w:tc>
      </w:tr>
      <w:tr>
        <w:tc>
          <w:tcPr>
            <w:tcW w:type="dxa" w:w="11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11</w:t>
            </w:r>
          </w:p>
        </w:tc>
        <w:tc>
          <w:tcPr>
            <w:tcW w:type="dxa" w:w="82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أعمال الأكريليك والخشب والمعادن الخفيفة</w:t>
            </w:r>
          </w:p>
        </w:tc>
      </w:tr>
      <w:tr>
        <w:tc>
          <w:tcPr>
            <w:tcW w:type="dxa" w:w="110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12</w:t>
            </w:r>
          </w:p>
        </w:tc>
        <w:tc>
          <w:tcPr>
            <w:tcW w:type="dxa" w:w="826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المجسّمات البسيطة في المساحات الخضراء</w:t>
            </w:r>
          </w:p>
        </w:tc>
      </w:tr>
      <w:tr>
        <w:tc>
          <w:tcPr>
            <w:tcW w:type="dxa" w:w="110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13</w:t>
            </w:r>
          </w:p>
        </w:tc>
        <w:tc>
          <w:tcPr>
            <w:tcW w:type="dxa" w:w="826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التصوير والعرض والتوثيق الإعلامي للمشروع</w:t>
            </w:r>
          </w:p>
        </w:tc>
      </w:tr>
    </w:tbl>
    <w:p>
      <w:pPr>
        <w:pStyle w:val="Heading2"/>
        <w:bidi/>
        <w:spacing w:after="140" w:before="240"/>
        <w:jc w:val="right"/>
      </w:pPr>
      <w:r>
        <w:rPr>
          <w:rFonts w:ascii="Arial" w:cs="Arial" w:eastAsia="Arial" w:hAnsi="Arial"/>
          <w:b/>
          <w:bCs/>
          <w:color w:val="2E75B6"/>
          <w:sz w:val="30"/>
          <w:szCs w:val="30"/>
          <w:rtl/>
        </w:rPr>
        <w:t xml:space="preserve">الملحق (د): مصفوفة الكلفة الإجمالية – ملخّص شامل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2840"/>
        <w:gridCol w:w="2840"/>
      </w:tblGrid>
      <w:tr>
        <w:trPr>
          <w:tblHeader/>
        </w:trPr>
        <w:tc>
          <w:tcPr>
            <w:tcW w:type="dxa" w:w="18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الخيار</w:t>
            </w:r>
          </w:p>
        </w:tc>
        <w:tc>
          <w:tcPr>
            <w:tcW w:type="dxa" w:w="18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الدرجة</w:t>
            </w:r>
          </w:p>
        </w:tc>
        <w:tc>
          <w:tcPr>
            <w:tcW w:type="dxa" w:w="28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قبل المساهمة</w:t>
            </w:r>
          </w:p>
        </w:tc>
        <w:tc>
          <w:tcPr>
            <w:tcW w:type="dxa" w:w="2840"/>
            <w:tcBorders>
              <w:top w:val="single" w:color="8FAADC" w:sz="6"/>
              <w:left w:val="single" w:color="8FAADC" w:sz="6"/>
              <w:bottom w:val="single" w:color="8FAADC" w:sz="6"/>
              <w:right w:val="single" w:color="8FAADC" w:sz="6"/>
            </w:tcBorders>
            <w:shd w:fill="1F4E79" w:val="clear"/>
            <w:tcMar>
              <w:top w:type="dxa" w:w="100"/>
              <w:left w:type="dxa" w:w="120"/>
              <w:bottom w:type="dxa" w:w="100"/>
              <w:right w:type="dxa" w:w="120"/>
            </w:tcMar>
            <w:vAlign w:val="center"/>
          </w:tcPr>
          <w:p>
            <w:pPr>
              <w:bidi/>
              <w:jc w:val="center"/>
            </w:pPr>
            <w:r>
              <w:rPr>
                <w:rFonts w:ascii="Arial" w:cs="Arial" w:eastAsia="Arial" w:hAnsi="Arial"/>
                <w:b/>
                <w:bCs/>
                <w:color w:val="FFFFFF"/>
                <w:sz w:val="22"/>
                <w:szCs w:val="22"/>
                <w:rtl/>
              </w:rPr>
              <w:t xml:space="preserve">بعد المساهمة</w:t>
            </w:r>
          </w:p>
        </w:tc>
      </w:tr>
      <w:tr>
        <w:tc>
          <w:tcPr>
            <w:tcW w:type="dxa" w:w="18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500 م²</w:t>
            </w:r>
          </w:p>
        </w:tc>
        <w:tc>
          <w:tcPr>
            <w:tcW w:type="dxa" w:w="18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اقتصادي</w:t>
            </w:r>
          </w:p>
        </w:tc>
        <w:tc>
          <w:tcPr>
            <w:tcW w:type="dxa" w:w="28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558 مليون</w:t>
            </w:r>
          </w:p>
        </w:tc>
        <w:tc>
          <w:tcPr>
            <w:tcW w:type="dxa" w:w="28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380 – 520 مليون</w:t>
            </w:r>
          </w:p>
        </w:tc>
      </w:tr>
      <w:tr>
        <w:tc>
          <w:tcPr>
            <w:tcW w:type="dxa" w:w="18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500 م²</w:t>
            </w:r>
          </w:p>
        </w:tc>
        <w:tc>
          <w:tcPr>
            <w:tcW w:type="dxa" w:w="18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قياسي</w:t>
            </w:r>
          </w:p>
        </w:tc>
        <w:tc>
          <w:tcPr>
            <w:tcW w:type="dxa" w:w="28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978 مليون</w:t>
            </w:r>
          </w:p>
        </w:tc>
        <w:tc>
          <w:tcPr>
            <w:tcW w:type="dxa" w:w="28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620 – 800 مليون</w:t>
            </w:r>
          </w:p>
        </w:tc>
      </w:tr>
      <w:tr>
        <w:tc>
          <w:tcPr>
            <w:tcW w:type="dxa" w:w="18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500 م²</w:t>
            </w:r>
          </w:p>
        </w:tc>
        <w:tc>
          <w:tcPr>
            <w:tcW w:type="dxa" w:w="18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فخم</w:t>
            </w:r>
          </w:p>
        </w:tc>
        <w:tc>
          <w:tcPr>
            <w:tcW w:type="dxa" w:w="28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1.595 مليار</w:t>
            </w:r>
          </w:p>
        </w:tc>
        <w:tc>
          <w:tcPr>
            <w:tcW w:type="dxa" w:w="28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1.05 – 1.30 مليار</w:t>
            </w:r>
          </w:p>
        </w:tc>
      </w:tr>
      <w:tr>
        <w:tc>
          <w:tcPr>
            <w:tcW w:type="dxa" w:w="18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1000 م²</w:t>
            </w:r>
          </w:p>
        </w:tc>
        <w:tc>
          <w:tcPr>
            <w:tcW w:type="dxa" w:w="18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اقتصادي</w:t>
            </w:r>
          </w:p>
        </w:tc>
        <w:tc>
          <w:tcPr>
            <w:tcW w:type="dxa" w:w="28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1.222 مليار</w:t>
            </w:r>
          </w:p>
        </w:tc>
        <w:tc>
          <w:tcPr>
            <w:tcW w:type="dxa" w:w="28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0.80 – 1.00 مليار</w:t>
            </w:r>
          </w:p>
        </w:tc>
      </w:tr>
      <w:tr>
        <w:tc>
          <w:tcPr>
            <w:tcW w:type="dxa" w:w="18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1000 م²</w:t>
            </w:r>
          </w:p>
        </w:tc>
        <w:tc>
          <w:tcPr>
            <w:tcW w:type="dxa" w:w="18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قياسي</w:t>
            </w:r>
          </w:p>
        </w:tc>
        <w:tc>
          <w:tcPr>
            <w:tcW w:type="dxa" w:w="28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2.135 مليار</w:t>
            </w:r>
          </w:p>
        </w:tc>
        <w:tc>
          <w:tcPr>
            <w:tcW w:type="dxa" w:w="2840"/>
            <w:tcBorders>
              <w:top w:val="single" w:color="8FAADC" w:sz="6"/>
              <w:left w:val="single" w:color="8FAADC" w:sz="6"/>
              <w:bottom w:val="single" w:color="8FAADC" w:sz="6"/>
              <w:right w:val="single" w:color="8FAADC" w:sz="6"/>
            </w:tcBorders>
            <w:shd w:fill="DDEBF7"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1.25 – 1.55 مليار</w:t>
            </w:r>
          </w:p>
        </w:tc>
      </w:tr>
      <w:tr>
        <w:tc>
          <w:tcPr>
            <w:tcW w:type="dxa" w:w="18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right"/>
            </w:pPr>
            <w:r>
              <w:rPr>
                <w:rFonts w:ascii="Arial" w:cs="Arial" w:eastAsia="Arial" w:hAnsi="Arial"/>
                <w:b w:val="false"/>
                <w:bCs w:val="false"/>
                <w:color w:val="000000"/>
                <w:sz w:val="22"/>
                <w:szCs w:val="22"/>
                <w:rtl/>
              </w:rPr>
              <w:t xml:space="preserve">1000 م²</w:t>
            </w:r>
          </w:p>
        </w:tc>
        <w:tc>
          <w:tcPr>
            <w:tcW w:type="dxa" w:w="18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فخم</w:t>
            </w:r>
          </w:p>
        </w:tc>
        <w:tc>
          <w:tcPr>
            <w:tcW w:type="dxa" w:w="28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3.540 مليار</w:t>
            </w:r>
          </w:p>
        </w:tc>
        <w:tc>
          <w:tcPr>
            <w:tcW w:type="dxa" w:w="2840"/>
            <w:tcBorders>
              <w:top w:val="single" w:color="8FAADC" w:sz="6"/>
              <w:left w:val="single" w:color="8FAADC" w:sz="6"/>
              <w:bottom w:val="single" w:color="8FAADC" w:sz="6"/>
              <w:right w:val="single" w:color="8FAADC" w:sz="6"/>
            </w:tcBorders>
            <w:shd w:fill="FFFFFF" w:val="clear"/>
            <w:tcMar>
              <w:top w:type="dxa" w:w="80"/>
              <w:left w:type="dxa" w:w="120"/>
              <w:bottom w:type="dxa" w:w="80"/>
              <w:right w:type="dxa" w:w="120"/>
            </w:tcMar>
            <w:vAlign w:val="center"/>
          </w:tcPr>
          <w:p>
            <w:pPr>
              <w:bidi/>
              <w:jc w:val="center"/>
            </w:pPr>
            <w:r>
              <w:rPr>
                <w:rFonts w:ascii="Arial" w:cs="Arial" w:eastAsia="Arial" w:hAnsi="Arial"/>
                <w:b w:val="false"/>
                <w:bCs w:val="false"/>
                <w:color w:val="000000"/>
                <w:sz w:val="22"/>
                <w:szCs w:val="22"/>
                <w:rtl/>
              </w:rPr>
              <w:t xml:space="preserve">2.15 – 2.60 مليار</w:t>
            </w:r>
          </w:p>
        </w:tc>
      </w:tr>
    </w:tbl>
    <w:p>
      <w:pPr>
        <w:spacing w:after="400" w:before="400"/>
      </w:pPr>
    </w:p>
    <w:p>
      <w:pPr>
        <w:bidi/>
        <w:spacing w:after="60" w:before="60" w:line="320"/>
        <w:jc w:val="center"/>
      </w:pPr>
      <w:r>
        <w:rPr>
          <w:rFonts w:ascii="Arial" w:cs="Arial" w:eastAsia="Arial" w:hAnsi="Arial"/>
          <w:b/>
          <w:bCs/>
          <w:color w:val="1F4E79"/>
          <w:sz w:val="26"/>
          <w:szCs w:val="26"/>
          <w:rtl/>
        </w:rPr>
        <w:t xml:space="preserve">— انتهى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bidi/>
      <w:jc w:val="center"/>
    </w:pPr>
    <w:r>
      <w:rPr>
        <w:rFonts w:ascii="Arial" w:cs="Arial" w:eastAsia="Arial" w:hAnsi="Arial"/>
        <w:color w:val="595959"/>
        <w:sz w:val="18"/>
        <w:szCs w:val="18"/>
        <w:rtl/>
      </w:rPr>
      <w:t xml:space="preserve">صفحة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tl/>
      </w:rPr>
      <w:t xml:space="preserve"> من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b/>
        <w:bCs/>
        <w:color w:val="1F4E79"/>
        <w:sz w:val="18"/>
        <w:szCs w:val="18"/>
        <w:rtl/>
      </w:rPr>
      <w:t xml:space="preserve">مديرية بلدية البصرة – شعبة تجميل المدينة | دراسة جدوى مشروع مرفق ترفيهي عائلي بلدي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abstractNum w:abstractNumId="4" w15:restartNumberingAfterBreak="0">
    <w:multiLevelType w:val="hybridMultilevel"/>
    <w:lvl w:ilvl="0" w15:tentative="1">
      <w:start w:val="1"/>
      <w:numFmt w:val="decimal"/>
      <w:lvlText w:val="%1."/>
      <w:lvlJc w:val="right"/>
      <w:pPr>
        <w:ind w:right="720" w:hanging="360"/>
      </w:pPr>
    </w:lvl>
  </w:abstractNum>
  <w:abstractNum w:abstractNumId="5" w15:restartNumberingAfterBreak="0">
    <w:multiLevelType w:val="hybridMultilevel"/>
    <w:lvl w:ilvl="0" w15:tentative="1">
      <w:start w:val="1"/>
      <w:numFmt w:val="decimal"/>
      <w:lvlText w:val="%1."/>
      <w:lvlJc w:val="right"/>
      <w:pPr>
        <w:ind w:right="720" w:hanging="360"/>
      </w:pPr>
    </w:lvl>
  </w:abstractNum>
  <w:abstractNum w:abstractNumId="6" w15:restartNumberingAfterBreak="0">
    <w:multiLevelType w:val="hybridMultilevel"/>
    <w:lvl w:ilvl="0" w15:tentative="1">
      <w:start w:val="1"/>
      <w:numFmt w:val="decimal"/>
      <w:lvlText w:val="%1."/>
      <w:lvlJc w:val="right"/>
      <w:pPr>
        <w:ind w:right="720" w:hanging="360"/>
      </w:pPr>
    </w:lvl>
  </w:abstractNum>
  <w:abstractNum w:abstractNumId="7" w15:restartNumberingAfterBreak="0">
    <w:multiLevelType w:val="hybridMultilevel"/>
    <w:lvl w:ilvl="0" w15:tentative="1">
      <w:start w:val="1"/>
      <w:numFmt w:val="decimal"/>
      <w:lvlText w:val="%1."/>
      <w:lvlJc w:val="right"/>
      <w:pPr>
        <w:ind w:right="720" w:hanging="360"/>
      </w:pPr>
    </w:lvl>
  </w:abstractNum>
  <w:abstractNum w:abstractNumId="8" w15:restartNumberingAfterBreak="0">
    <w:multiLevelType w:val="hybridMultilevel"/>
    <w:lvl w:ilvl="0" w15:tentative="1">
      <w:start w:val="1"/>
      <w:numFmt w:val="decimal"/>
      <w:lvlText w:val="%1."/>
      <w:lvlJc w:val="right"/>
      <w:pPr>
        <w:ind w:right="720" w:hanging="360"/>
      </w:pPr>
    </w:lvl>
  </w:abstractNum>
  <w:abstractNum w:abstractNumId="9" w15:restartNumberingAfterBreak="0">
    <w:multiLevelType w:val="hybridMultilevel"/>
    <w:lvl w:ilvl="0" w15:tentative="1">
      <w:start w:val="1"/>
      <w:numFmt w:val="decimal"/>
      <w:lvlText w:val="%1."/>
      <w:lvlJc w:val="right"/>
      <w:pPr>
        <w:ind w:right="720" w:hanging="360"/>
      </w:pPr>
    </w:lvl>
  </w:abstractNum>
  <w:abstractNum w:abstractNumId="10" w15:restartNumberingAfterBreak="0">
    <w:multiLevelType w:val="hybridMultilevel"/>
    <w:lvl w:ilvl="0" w15:tentative="1">
      <w:start w:val="1"/>
      <w:numFmt w:val="decimal"/>
      <w:lvlText w:val="%1."/>
      <w:lvlJc w:val="right"/>
      <w:pPr>
        <w:ind w:right="720" w:hanging="360"/>
      </w:pPr>
    </w:lvl>
  </w:abstractNum>
  <w:abstractNum w:abstractNumId="11" w15:restartNumberingAfterBreak="0">
    <w:multiLevelType w:val="hybridMultilevel"/>
    <w:lvl w:ilvl="0" w15:tentative="1">
      <w:start w:val="1"/>
      <w:numFmt w:val="decimal"/>
      <w:lvlText w:val="%1."/>
      <w:lvlJc w:val="right"/>
      <w:pPr>
        <w:ind w:right="720" w:hanging="360"/>
      </w:pPr>
    </w:lvl>
  </w:abstractNum>
  <w:abstractNum w:abstractNumId="12" w15:restartNumberingAfterBreak="0">
    <w:multiLevelType w:val="hybridMultilevel"/>
    <w:lvl w:ilvl="0" w15:tentative="1">
      <w:start w:val="1"/>
      <w:numFmt w:val="decimal"/>
      <w:lvlText w:val="%1."/>
      <w:lvlJc w:val="right"/>
      <w:pPr>
        <w:ind w:right="720" w:hanging="360"/>
      </w:pPr>
    </w:lvl>
  </w:abstractNum>
  <w:abstractNum w:abstractNumId="13" w15:restartNumberingAfterBreak="0">
    <w:multiLevelType w:val="hybridMultilevel"/>
    <w:lvl w:ilvl="0" w15:tentative="1">
      <w:start w:val="1"/>
      <w:numFmt w:val="decimal"/>
      <w:lvlText w:val="%1."/>
      <w:lvlJc w:val="right"/>
      <w:pPr>
        <w:ind w:right="720" w:hanging="360"/>
      </w:pPr>
    </w:lvl>
  </w:abstractNum>
  <w:abstractNum w:abstractNumId="14" w15:restartNumberingAfterBreak="0">
    <w:multiLevelType w:val="hybridMultilevel"/>
    <w:lvl w:ilvl="0" w15:tentative="1">
      <w:start w:val="1"/>
      <w:numFmt w:val="decimal"/>
      <w:lvlText w:val="%1."/>
      <w:lvlJc w:val="right"/>
      <w:pPr>
        <w:ind w:right="720" w:hanging="360"/>
      </w:pPr>
    </w:lvl>
  </w:abstractNum>
  <w:abstractNum w:abstractNumId="15" w15:restartNumberingAfterBreak="0">
    <w:multiLevelType w:val="hybridMultilevel"/>
    <w:lvl w:ilvl="0" w15:tentative="1">
      <w:start w:val="1"/>
      <w:numFmt w:val="decimal"/>
      <w:lvlText w:val="%1."/>
      <w:lvlJc w:val="right"/>
      <w:pPr>
        <w:ind w:right="720" w:hanging="360"/>
      </w:pPr>
    </w:lvl>
  </w:abstractNum>
  <w:abstractNum w:abstractNumId="16" w15:restartNumberingAfterBreak="0">
    <w:multiLevelType w:val="hybridMultilevel"/>
    <w:lvl w:ilvl="0" w15:tentative="1">
      <w:start w:val="1"/>
      <w:numFmt w:val="decimal"/>
      <w:lvlText w:val="%1."/>
      <w:lvlJc w:val="right"/>
      <w:pPr>
        <w:ind w:right="720" w:hanging="360"/>
      </w:pPr>
    </w:lvl>
  </w:abstractNum>
  <w:abstractNum w:abstractNumId="17" w15:restartNumberingAfterBreak="0">
    <w:multiLevelType w:val="hybridMultilevel"/>
    <w:lvl w:ilvl="0" w15:tentative="1">
      <w:start w:val="1"/>
      <w:numFmt w:val="decimal"/>
      <w:lvlText w:val="%1."/>
      <w:lvlJc w:val="right"/>
      <w:pPr>
        <w:ind w:right="720" w:hanging="360"/>
      </w:pPr>
    </w:lvl>
  </w:abstractNum>
  <w:abstractNum w:abstractNumId="18" w15:restartNumberingAfterBreak="0">
    <w:multiLevelType w:val="hybridMultilevel"/>
    <w:lvl w:ilvl="0" w15:tentative="1">
      <w:start w:val="1"/>
      <w:numFmt w:val="decimal"/>
      <w:lvlText w:val="%1."/>
      <w:lvlJc w:val="right"/>
      <w:pPr>
        <w:ind w:right="720" w:hanging="360"/>
      </w:pPr>
    </w:lvl>
  </w:abstractNum>
  <w:abstractNum w:abstractNumId="19" w15:restartNumberingAfterBreak="0">
    <w:multiLevelType w:val="hybridMultilevel"/>
    <w:lvl w:ilvl="0" w15:tentative="1">
      <w:start w:val="1"/>
      <w:numFmt w:val="decimal"/>
      <w:lvlText w:val="%1."/>
      <w:lvlJc w:val="right"/>
      <w:pPr>
        <w:ind w:right="720" w:hanging="360"/>
      </w:pPr>
    </w:lvl>
  </w:abstractNum>
  <w:abstractNum w:abstractNumId="20" w15:restartNumberingAfterBreak="0">
    <w:multiLevelType w:val="hybridMultilevel"/>
    <w:lvl w:ilvl="0" w15:tentative="1">
      <w:start w:val="1"/>
      <w:numFmt w:val="decimal"/>
      <w:lvlText w:val="%1."/>
      <w:lvlJc w:val="right"/>
      <w:pPr>
        <w:ind w:right="720" w:hanging="360"/>
      </w:pPr>
    </w:lvl>
  </w:abstractNum>
  <w:abstractNum w:abstractNumId="21" w15:restartNumberingAfterBreak="0">
    <w:multiLevelType w:val="hybridMultilevel"/>
    <w:lvl w:ilvl="0" w15:tentative="1">
      <w:start w:val="1"/>
      <w:numFmt w:val="decimal"/>
      <w:lvlText w:val="%1."/>
      <w:lvlJc w:val="right"/>
      <w:pPr>
        <w:ind w:right="720" w:hanging="360"/>
      </w:pPr>
    </w:lvl>
  </w:abstractNum>
  <w:abstractNum w:abstractNumId="22" w15:restartNumberingAfterBreak="0">
    <w:multiLevelType w:val="hybridMultilevel"/>
    <w:lvl w:ilvl="0" w15:tentative="1">
      <w:start w:val="1"/>
      <w:numFmt w:val="decimal"/>
      <w:lvlText w:val="%1."/>
      <w:lvlJc w:val="right"/>
      <w:pPr>
        <w:ind w:right="720" w:hanging="360"/>
      </w:pPr>
    </w:lvl>
  </w:abstractNum>
  <w:abstractNum w:abstractNumId="23" w15:restartNumberingAfterBreak="0">
    <w:multiLevelType w:val="hybridMultilevel"/>
    <w:lvl w:ilvl="0" w15:tentative="1">
      <w:start w:val="1"/>
      <w:numFmt w:val="decimal"/>
      <w:lvlText w:val="%1."/>
      <w:lvlJc w:val="right"/>
      <w:pPr>
        <w:ind w:right="720" w:hanging="360"/>
      </w:pPr>
    </w:lvl>
  </w:abstractNum>
  <w:abstractNum w:abstractNumId="24" w15:restartNumberingAfterBreak="0">
    <w:multiLevelType w:val="hybridMultilevel"/>
    <w:lvl w:ilvl="0" w15:tentative="1">
      <w:start w:val="1"/>
      <w:numFmt w:val="decimal"/>
      <w:lvlText w:val="%1."/>
      <w:lvlJc w:val="right"/>
      <w:pPr>
        <w:ind w:right="720" w:hanging="360"/>
      </w:pPr>
    </w:lvl>
  </w:abstractNum>
  <w:abstractNum w:abstractNumId="25" w15:restartNumberingAfterBreak="0">
    <w:multiLevelType w:val="hybridMultilevel"/>
    <w:lvl w:ilvl="0" w15:tentative="1">
      <w:start w:val="1"/>
      <w:numFmt w:val="decimal"/>
      <w:lvlText w:val="%1."/>
      <w:lvlJc w:val="right"/>
      <w:pPr>
        <w:ind w:right="720" w:hanging="360"/>
      </w:pPr>
    </w:lvl>
  </w:abstractNum>
  <w:abstractNum w:abstractNumId="26" w15:restartNumberingAfterBreak="0">
    <w:multiLevelType w:val="hybridMultilevel"/>
    <w:lvl w:ilvl="0" w15:tentative="1">
      <w:start w:val="1"/>
      <w:numFmt w:val="decimal"/>
      <w:lvlText w:val="%1."/>
      <w:lvlJc w:val="right"/>
      <w:pPr>
        <w:ind w:right="720" w:hanging="360"/>
      </w:pPr>
    </w:lvl>
  </w:abstractNum>
  <w:abstractNum w:abstractNumId="27" w15:restartNumberingAfterBreak="0">
    <w:multiLevelType w:val="hybridMultilevel"/>
    <w:lvl w:ilvl="0" w15:tentative="1">
      <w:start w:val="1"/>
      <w:numFmt w:val="decimal"/>
      <w:lvlText w:val="%1."/>
      <w:lvlJc w:val="right"/>
      <w:pPr>
        <w:ind w:right="720" w:hanging="360"/>
      </w:pPr>
    </w:lvl>
  </w:abstractNum>
  <w:abstractNum w:abstractNumId="28" w15:restartNumberingAfterBreak="0">
    <w:multiLevelType w:val="hybridMultilevel"/>
    <w:lvl w:ilvl="0" w15:tentative="1">
      <w:start w:val="1"/>
      <w:numFmt w:val="decimal"/>
      <w:lvlText w:val="%1."/>
      <w:lvlJc w:val="right"/>
      <w:pPr>
        <w:ind w:right="720" w:hanging="360"/>
      </w:pPr>
    </w:lvl>
  </w:abstractNum>
  <w:abstractNum w:abstractNumId="29" w15:restartNumberingAfterBreak="0">
    <w:multiLevelType w:val="hybridMultilevel"/>
    <w:lvl w:ilvl="0" w15:tentative="1">
      <w:start w:val="1"/>
      <w:numFmt w:val="decimal"/>
      <w:lvlText w:val="%1."/>
      <w:lvlJc w:val="right"/>
      <w:pPr>
        <w:ind w:right="720" w:hanging="360"/>
      </w:pPr>
    </w:lvl>
  </w:abstractNum>
  <w:abstractNum w:abstractNumId="30" w15:restartNumberingAfterBreak="0">
    <w:multiLevelType w:val="hybridMultilevel"/>
    <w:lvl w:ilvl="0" w15:tentative="1">
      <w:start w:val="1"/>
      <w:numFmt w:val="decimal"/>
      <w:lvlText w:val="%1."/>
      <w:lvlJc w:val="right"/>
      <w:pPr>
        <w:ind w:right="720" w:hanging="360"/>
      </w:pPr>
    </w:lvl>
  </w:abstractNum>
  <w:abstractNum w:abstractNumId="31" w15:restartNumberingAfterBreak="0">
    <w:multiLevelType w:val="hybridMultilevel"/>
    <w:lvl w:ilvl="0" w15:tentative="1">
      <w:start w:val="1"/>
      <w:numFmt w:val="decimal"/>
      <w:lvlText w:val="%1."/>
      <w:lvlJc w:val="right"/>
      <w:pPr>
        <w:ind w:right="720" w:hanging="360"/>
      </w:pPr>
    </w:lvl>
  </w:abstractNum>
  <w:abstractNum w:abstractNumId="32"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18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دراسة جدوى مشروع مرفق ترفيهي عائلي بلدي</dc:title>
  <dc:creator>شعبة تجميل المدينة - مديرية بلدية البصرة</dc:creator>
  <dc:description>دراسة جدوى أولية مقدَّمة من شعبة تجميل المدينة إلى السيد المدير العام</dc:description>
  <cp:lastModifiedBy>Un-named</cp:lastModifiedBy>
  <cp:revision>1</cp:revision>
  <dcterms:created xsi:type="dcterms:W3CDTF">2026-05-09T00:02:09.122Z</dcterms:created>
  <dcterms:modified xsi:type="dcterms:W3CDTF">2026-05-09T00:02:09.122Z</dcterms:modified>
</cp:coreProperties>
</file>

<file path=docProps/custom.xml><?xml version="1.0" encoding="utf-8"?>
<Properties xmlns="http://schemas.openxmlformats.org/officeDocument/2006/custom-properties" xmlns:vt="http://schemas.openxmlformats.org/officeDocument/2006/docPropsVTypes"/>
</file>