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center"/>
      </w:pPr>
      <w:r>
        <w:rPr>
          <w:rFonts w:ascii="Arial" w:cs="Arial" w:eastAsia="Arial" w:hAnsi="Arial"/>
          <w:b/>
          <w:bCs/>
          <w:i w:val="false"/>
          <w:iCs w:val="false"/>
          <w:sz w:val="44"/>
          <w:szCs w:val="44"/>
          <w:rtl/>
        </w:rPr>
        <w:t xml:space="preserve">النظام الداخلي المؤسسي الموحّد</w:t>
      </w:r>
    </w:p>
    <w:p>
      <w:pPr>
        <w:bidi/>
        <w:spacing w:after="80"/>
        <w:jc w:val="center"/>
      </w:pPr>
      <w:r>
        <w:rPr>
          <w:rFonts w:ascii="Arial" w:cs="Arial" w:eastAsia="Arial" w:hAnsi="Arial"/>
          <w:b/>
          <w:bCs/>
          <w:i w:val="false"/>
          <w:iCs w:val="false"/>
          <w:sz w:val="32"/>
          <w:szCs w:val="32"/>
          <w:rtl/>
        </w:rPr>
        <w:t xml:space="preserve">الورشة الهندسية</w:t>
      </w:r>
    </w:p>
    <w:p>
      <w:pPr>
        <w:bidi/>
        <w:spacing w:after="80"/>
        <w:jc w:val="center"/>
      </w:pPr>
      <w:r>
        <w:rPr>
          <w:rFonts w:ascii="Arial" w:cs="Arial" w:eastAsia="Arial" w:hAnsi="Arial"/>
          <w:b w:val="false"/>
          <w:bCs w:val="false"/>
          <w:i w:val="false"/>
          <w:iCs w:val="false"/>
          <w:sz w:val="24"/>
          <w:szCs w:val="24"/>
          <w:rtl/>
        </w:rPr>
        <w:t xml:space="preserve">نظام PENTAGON (الخطوط الخمسة + التوسّع) — نسخة موحّدة قابلة للاعتماد القانوني</w:t>
      </w:r>
    </w:p>
    <w:p>
      <w:pPr>
        <w:bidi/>
        <w:spacing w:after="40"/>
        <w:jc w:val="center"/>
      </w:pPr>
      <w:r>
        <w:rPr>
          <w:rFonts w:ascii="Arial" w:cs="Arial" w:eastAsia="Arial" w:hAnsi="Arial"/>
          <w:b/>
          <w:bCs/>
          <w:i w:val="false"/>
          <w:iCs w:val="false"/>
          <w:sz w:val="24"/>
          <w:szCs w:val="24"/>
          <w:rtl/>
        </w:rPr>
        <w:t xml:space="preserve">الإصدار: 2026-06 (v3.1) — الملف الرئيسي الشامل / Master</w:t>
      </w:r>
    </w:p>
    <w:p>
      <w:pPr>
        <w:bidi/>
        <w:spacing w:after="40"/>
        <w:jc w:val="center"/>
      </w:pPr>
      <w:r>
        <w:rPr>
          <w:rFonts w:ascii="Arial" w:cs="Arial" w:eastAsia="Arial" w:hAnsi="Arial"/>
          <w:b/>
          <w:bCs/>
          <w:i w:val="false"/>
          <w:iCs w:val="false"/>
          <w:sz w:val="22"/>
          <w:szCs w:val="22"/>
          <w:rtl/>
        </w:rPr>
        <w:t xml:space="preserve">هذا هو المرجع الموحّد الوحيد ويُغني عن كل الملفات السابقة.</w:t>
      </w:r>
    </w:p>
    <w:p>
      <w:pPr>
        <w:bidi/>
        <w:spacing w:after="40"/>
        <w:jc w:val="center"/>
      </w:pPr>
      <w:r>
        <w:rPr>
          <w:rFonts w:ascii="Arial" w:cs="Arial" w:eastAsia="Arial" w:hAnsi="Arial"/>
          <w:b w:val="false"/>
          <w:bCs w:val="false"/>
          <w:i w:val="false"/>
          <w:iCs w:val="false"/>
          <w:sz w:val="22"/>
          <w:szCs w:val="22"/>
          <w:rtl/>
        </w:rPr>
        <w:t xml:space="preserve">تاريخ النفاذ: ______ / ______ / 2026</w:t>
      </w:r>
    </w:p>
    <w:p>
      <w:pPr>
        <w:bidi/>
        <w:spacing w:after="80" w:before="240"/>
        <w:jc w:val="center"/>
      </w:pPr>
      <w:r>
        <w:rPr>
          <w:rFonts w:ascii="Arial" w:cs="Arial" w:eastAsia="Arial" w:hAnsi="Arial"/>
          <w:b w:val="false"/>
          <w:bCs w:val="false"/>
          <w:i/>
          <w:iCs/>
          <w:sz w:val="22"/>
          <w:szCs w:val="22"/>
          <w:rtl/>
        </w:rPr>
        <w:t xml:space="preserve">يدمج هذا الإصدار ويُحدِّث الإصدارين السابقين (v1.1 و v2-2026-03)، ويُعتمد مرجعاً إدارياً وتشغيلياً ومالياً وسلوكياً مُلزماً بعد التوقيع.</w:t>
      </w:r>
    </w:p>
    <w:p>
      <w:pPr>
        <w:bidi/>
        <w:spacing w:after="80"/>
        <w:jc w:val="center"/>
      </w:pPr>
      <w:r>
        <w:rPr>
          <w:rFonts w:ascii="Arial" w:cs="Arial" w:eastAsia="Arial" w:hAnsi="Arial"/>
          <w:b w:val="false"/>
          <w:bCs w:val="false"/>
          <w:i/>
          <w:iCs/>
          <w:sz w:val="20"/>
          <w:szCs w:val="20"/>
          <w:rtl/>
        </w:rPr>
        <w:t xml:space="preserve">ملاحظة: لا تُغني هذه اللائحة عن عقد العمل الفردي، بل تُكمله وتُفسّر إجراءات تطبيقه.</w:t>
      </w:r>
    </w:p>
    <w:p>
      <w:pPr>
        <w:pStyle w:val="Heading1"/>
        <w:pageBreakBefore/>
        <w:bidi/>
        <w:spacing w:after="120"/>
        <w:jc w:val="right"/>
      </w:pPr>
      <w:r>
        <w:rPr>
          <w:rFonts w:ascii="Arial" w:cs="Arial" w:eastAsia="Arial" w:hAnsi="Arial"/>
          <w:b/>
          <w:bCs/>
          <w:i w:val="false"/>
          <w:iCs w:val="false"/>
          <w:sz w:val="30"/>
          <w:szCs w:val="30"/>
          <w:rtl/>
        </w:rPr>
        <w:t xml:space="preserve">فهرس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pPr>
        <w:pStyle w:val="Heading1"/>
        <w:pageBreakBefore/>
        <w:bidi/>
        <w:spacing w:after="160" w:before="240"/>
        <w:jc w:val="right"/>
      </w:pPr>
      <w:r>
        <w:rPr>
          <w:rFonts w:ascii="Arial" w:cs="Arial" w:eastAsia="Arial" w:hAnsi="Arial"/>
          <w:b/>
          <w:bCs/>
          <w:i w:val="false"/>
          <w:iCs w:val="false"/>
          <w:sz w:val="30"/>
          <w:szCs w:val="30"/>
          <w:rtl/>
        </w:rPr>
        <w:t xml:space="preserve">الباب التمهيدي: عن هذا الإصدار (v3) وما استُحدث فيه</w:t>
      </w:r>
    </w:p>
    <w:p>
      <w:pPr>
        <w:bidi/>
        <w:spacing w:after="120" w:before="0" w:line="276"/>
        <w:jc w:val="right"/>
      </w:pPr>
      <w:r>
        <w:rPr>
          <w:rFonts w:ascii="Arial" w:cs="Arial" w:eastAsia="Arial" w:hAnsi="Arial"/>
          <w:b w:val="false"/>
          <w:bCs w:val="false"/>
          <w:i w:val="false"/>
          <w:iCs w:val="false"/>
          <w:sz w:val="22"/>
          <w:szCs w:val="22"/>
          <w:rtl/>
        </w:rPr>
        <w:t xml:space="preserve">يأتي هذا الإصدار نتيجة جملة تعديلات جوهرية أُدخلت على عمل الورشة خلال 2026، ويُوحِّد كل الوثائق التنظيمية السابقة في مرجع واحد مُعتمد. أبرز ما استُحدث أو عُدِّل: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تحديث قوانين الرواتب واحتساب الأجر، واعتماد منظومة «حالات الدوام» الدقيقة المطبّقة في النظام الرقمي (الفصل السادس والملحق ج).</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استحداث حالة دوام جديدة: «معفى بالساعات» — يوم يُحتسب على ساعات الحضور الفعلية فقط، بلا إضافي وبلا غرامات (تُطبَّق تلقائياً على اليوم التالي للشفت الليلي).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اعتماد نظام المناوبات وأنواع التوظيف المتعددة، ومنها «التوظيف بالساعة بمناوبات متغيّرة» (صباحي/عصري).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استحداث «نماذج الأجور والشراكات» (راتب، راتب + نسبة، نسبة أرباح، عمولة مبيعات، شراكة تشغيلية بالقسم) — الفصل السابع والملحق د.</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استحداث «سجل الأقسام والخطوط» مع تصنيف حالة كل قسم: مكتمل / قيد الإنشاء / فكرة، وإضافة قسم «AI TEAM» — الفصل الثالث والملحق هـ.</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اعتماد «النظام الرقمي Octagon ERP» مرجعاً تشغيلياً رسمياً (System of Record) للحضور والرواتب والمالية والمخزون ونقطة البيع — الفصل الثاني عشر.</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تثبيت مبدأ «التوسّع العمودي والأفقي» للمؤسسة (تعميق الأقسام القائمة + إضافة أقسام/أنشطة جديدة).</w:t>
      </w:r>
    </w:p>
    <w:p>
      <w:pPr>
        <w:bidi/>
        <w:spacing w:after="120" w:before="0" w:line="276"/>
        <w:jc w:val="right"/>
      </w:pPr>
      <w:r>
        <w:rPr>
          <w:rFonts w:ascii="Arial" w:cs="Arial" w:eastAsia="Arial" w:hAnsi="Arial"/>
          <w:b/>
          <w:bCs/>
          <w:i w:val="false"/>
          <w:iCs w:val="false"/>
          <w:sz w:val="22"/>
          <w:szCs w:val="22"/>
          <w:rtl/>
        </w:rPr>
        <w:t xml:space="preserve">ملاحظة منهجية: </w:t>
      </w:r>
      <w:r>
        <w:rPr>
          <w:rFonts w:ascii="Arial" w:cs="Arial" w:eastAsia="Arial" w:hAnsi="Arial"/>
          <w:b w:val="false"/>
          <w:bCs w:val="false"/>
          <w:i w:val="false"/>
          <w:iCs w:val="false"/>
          <w:sz w:val="22"/>
          <w:szCs w:val="22"/>
          <w:rtl/>
        </w:rPr>
        <w:t xml:space="preserve">حيثما وردت فراغات على هيئة (____) أو بنود موسومة بـ «يُعبّأ»، تُستكمل بالأرقام/الأسماء الفعلية باعتماد الإدارة العليا والموارد البشرية، دون أن يُخلّ ذلك بسريان بقية المواد.</w:t>
      </w:r>
    </w:p>
    <w:p>
      <w:pPr>
        <w:pStyle w:val="Heading2"/>
        <w:bidi/>
        <w:spacing w:after="120" w:before="200"/>
        <w:jc w:val="right"/>
      </w:pPr>
      <w:r>
        <w:rPr>
          <w:rFonts w:ascii="Arial" w:cs="Arial" w:eastAsia="Arial" w:hAnsi="Arial"/>
          <w:b/>
          <w:bCs/>
          <w:i w:val="false"/>
          <w:iCs w:val="false"/>
          <w:sz w:val="26"/>
          <w:szCs w:val="26"/>
          <w:rtl/>
        </w:rPr>
        <w:t xml:space="preserve">كيفية استخدام هذا الملف الرئيسي (مهم)</w:t>
      </w:r>
    </w:p>
    <w:p>
      <w:pPr>
        <w:bidi/>
        <w:spacing w:after="120" w:before="0" w:line="276"/>
        <w:jc w:val="right"/>
      </w:pPr>
      <w:r>
        <w:rPr>
          <w:rFonts w:ascii="Arial" w:cs="Arial" w:eastAsia="Arial" w:hAnsi="Arial"/>
          <w:b w:val="false"/>
          <w:bCs w:val="false"/>
          <w:i w:val="false"/>
          <w:iCs w:val="false"/>
          <w:sz w:val="22"/>
          <w:szCs w:val="22"/>
          <w:rtl/>
        </w:rPr>
        <w:t xml:space="preserve">هذا الملف هو المرجع الموحّد الوحيد ويُغني عن كل الملفات السابقة. صُمِّم ليُكمَّل بالتدريج: افتحه وأجب عن الأسئلة الملوّنة فقط، وكل إجابة تملأ جزءاً من النظام. دلالات العلامات اللونية:</w:t>
      </w:r>
    </w:p>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صندوق أصفر = سؤال للإدارة. </w:t>
            </w:r>
            <w:r>
              <w:rPr>
                <w:rFonts w:ascii="Arial" w:cs="Arial" w:eastAsia="Arial" w:hAnsi="Arial"/>
                <w:b w:val="false"/>
                <w:bCs w:val="false"/>
                <w:i w:val="false"/>
                <w:iCs w:val="false"/>
                <w:color w:val="5C4A00"/>
                <w:sz w:val="22"/>
                <w:szCs w:val="22"/>
                <w:rtl/>
              </w:rPr>
              <w:t xml:space="preserve">اكتب جوابك في سطر «الجواب». كل الأسئلة مجموعة أيضاً في الملحق (ح): سجل الأسئلة المفتوحة.</w:t>
            </w:r>
          </w:p>
        </w:tc>
      </w:tr>
    </w:tbl>
    <w:tbl>
      <w:tblPr>
        <w:bidiVisual/>
        <w:tblW w:type="dxa" w:w="9026"/>
        <w:tblBorders>
          <w:top w:val="single" w:color="C0392B" w:sz="14"/>
          <w:left w:val="single" w:color="C0392B" w:sz="14"/>
          <w:bottom w:val="single" w:color="C0392B" w:sz="14"/>
          <w:right w:val="single" w:color="C0392B" w:sz="14"/>
          <w:insideH w:val="single" w:color="auto" w:sz="4"/>
          <w:insideV w:val="single" w:color="auto" w:sz="4"/>
        </w:tblBorders>
      </w:tblPr>
      <w:tblGrid>
        <w:gridCol w:w="9026"/>
      </w:tblGrid>
      <w:tr>
        <w:tc>
          <w:tcPr>
            <w:tcW w:type="dxa" w:w="9026"/>
            <w:shd w:fill="FCE4E4"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A4231B"/>
                <w:sz w:val="22"/>
                <w:szCs w:val="22"/>
                <w:rtl/>
              </w:rPr>
              <w:t xml:space="preserve">■ صندوق أحمر = قسم غير مُنجَز بعد. </w:t>
            </w:r>
            <w:r>
              <w:rPr>
                <w:rFonts w:ascii="Arial" w:cs="Arial" w:eastAsia="Arial" w:hAnsi="Arial"/>
                <w:b w:val="false"/>
                <w:bCs w:val="false"/>
                <w:i w:val="false"/>
                <w:iCs w:val="false"/>
                <w:color w:val="7A1A14"/>
                <w:sz w:val="22"/>
                <w:szCs w:val="22"/>
                <w:rtl/>
              </w:rPr>
              <w:t xml:space="preserve">يتضمّن قائمة مرقّمة بما يجب إنجازه لإكمال هذا القسم.</w:t>
            </w:r>
          </w:p>
        </w:tc>
      </w:tr>
    </w:tbl>
    <w:p>
      <w:pPr>
        <w:bidi/>
        <w:spacing w:after="120" w:before="0" w:line="276"/>
        <w:jc w:val="right"/>
      </w:pPr>
      <w:r>
        <w:rPr>
          <w:rFonts w:ascii="Arial" w:cs="Arial" w:eastAsia="Arial" w:hAnsi="Arial"/>
          <w:b/>
          <w:bCs/>
          <w:i w:val="false"/>
          <w:iCs w:val="false"/>
          <w:sz w:val="22"/>
          <w:szCs w:val="22"/>
          <w:rtl/>
        </w:rPr>
        <w:t xml:space="preserve">(____) </w:t>
      </w:r>
      <w:r>
        <w:rPr>
          <w:rFonts w:ascii="Arial" w:cs="Arial" w:eastAsia="Arial" w:hAnsi="Arial"/>
          <w:b w:val="false"/>
          <w:bCs w:val="false"/>
          <w:i w:val="false"/>
          <w:iCs w:val="false"/>
          <w:sz w:val="22"/>
          <w:szCs w:val="22"/>
          <w:rtl/>
        </w:rPr>
        <w:t xml:space="preserve">فراغ نقطي = معلومة ناقصة تُملأ مباشرة. عند إكمال أي قسم، احذف صندوقه الملوّن.</w:t>
      </w:r>
    </w:p>
    <w:p>
      <w:pPr>
        <w:pStyle w:val="Heading1"/>
        <w:pageBreakBefore/>
        <w:bidi/>
        <w:spacing w:after="160" w:before="240"/>
        <w:jc w:val="right"/>
      </w:pPr>
      <w:r>
        <w:rPr>
          <w:rFonts w:ascii="Arial" w:cs="Arial" w:eastAsia="Arial" w:hAnsi="Arial"/>
          <w:b/>
          <w:bCs/>
          <w:i w:val="false"/>
          <w:iCs w:val="false"/>
          <w:sz w:val="30"/>
          <w:szCs w:val="30"/>
          <w:rtl/>
        </w:rPr>
        <w:t xml:space="preserve">الفصل الأول: التعاريف والأهداف</w:t>
      </w:r>
    </w:p>
    <w:p>
      <w:pPr>
        <w:pStyle w:val="Heading2"/>
        <w:bidi/>
        <w:spacing w:after="120" w:before="200"/>
        <w:jc w:val="right"/>
      </w:pPr>
      <w:r>
        <w:rPr>
          <w:rFonts w:ascii="Arial" w:cs="Arial" w:eastAsia="Arial" w:hAnsi="Arial"/>
          <w:b/>
          <w:bCs/>
          <w:i w:val="false"/>
          <w:iCs w:val="false"/>
          <w:sz w:val="26"/>
          <w:szCs w:val="26"/>
          <w:rtl/>
        </w:rPr>
        <w:t xml:space="preserve">المادة (1): التعريف بالورشة وطبيعة نشاطها</w:t>
      </w:r>
    </w:p>
    <w:p>
      <w:pPr>
        <w:bidi/>
        <w:spacing w:after="120" w:before="0" w:line="276"/>
        <w:jc w:val="right"/>
      </w:pPr>
      <w:r>
        <w:rPr>
          <w:rFonts w:ascii="Arial" w:cs="Arial" w:eastAsia="Arial" w:hAnsi="Arial"/>
          <w:b w:val="false"/>
          <w:bCs w:val="false"/>
          <w:i w:val="false"/>
          <w:iCs w:val="false"/>
          <w:sz w:val="22"/>
          <w:szCs w:val="22"/>
          <w:rtl/>
        </w:rPr>
        <w:t xml:space="preserve">الورشة الهندسية منشأة إنتاجية هندسية–تصميمية تقدّم خدمات ومنتجات ضمن: الساينج واللافتات والإنارة، الطباعة والتغليف، المنتجات المخصصة، التصميم المعماري والديكور، والخدمات المجتمعية والتدريب، إضافةً إلى منظومة رقمية مساندة (AI/ERP).</w:t>
      </w:r>
    </w:p>
    <w:p>
      <w:pPr>
        <w:bidi/>
        <w:spacing w:after="120" w:before="0" w:line="276"/>
        <w:jc w:val="right"/>
      </w:pPr>
      <w:r>
        <w:rPr>
          <w:rFonts w:ascii="Arial" w:cs="Arial" w:eastAsia="Arial" w:hAnsi="Arial"/>
          <w:b w:val="false"/>
          <w:bCs w:val="false"/>
          <w:i w:val="false"/>
          <w:iCs w:val="false"/>
          <w:sz w:val="22"/>
          <w:szCs w:val="22"/>
          <w:rtl/>
        </w:rPr>
        <w:t xml:space="preserve">تعمل الورشة وفق دورة تشغيل معيارية (SOP): الاستفسار ← جمع المتطلبات ← تسعير واعتماد ← تنفيذ ← فحص جودة ← تسليم ← إغلاق مالي وأرشفة.</w:t>
      </w:r>
    </w:p>
    <w:p>
      <w:pPr>
        <w:bidi/>
        <w:spacing w:after="120" w:before="0" w:line="276"/>
        <w:jc w:val="right"/>
      </w:pPr>
      <w:r>
        <w:rPr>
          <w:rFonts w:ascii="Arial" w:cs="Arial" w:eastAsia="Arial" w:hAnsi="Arial"/>
          <w:b w:val="false"/>
          <w:bCs w:val="false"/>
          <w:i w:val="false"/>
          <w:iCs w:val="false"/>
          <w:sz w:val="22"/>
          <w:szCs w:val="22"/>
          <w:rtl/>
        </w:rPr>
        <w:t xml:space="preserve">تهدف الورشة إلى بناء مؤسسة قابلة للتوسّع لا تعتمد على أفراد بعينهم، عبر توثيق الإجراءات وتحديد المسؤوليات وتطبيق نظام متابعة ومحاسبة واضح، مدعوم بالنظام الرقمي.</w:t>
      </w:r>
    </w:p>
    <w:p>
      <w:pPr>
        <w:pStyle w:val="Heading2"/>
        <w:bidi/>
        <w:spacing w:after="120" w:before="200"/>
        <w:jc w:val="right"/>
      </w:pPr>
      <w:r>
        <w:rPr>
          <w:rFonts w:ascii="Arial" w:cs="Arial" w:eastAsia="Arial" w:hAnsi="Arial"/>
          <w:b/>
          <w:bCs/>
          <w:i w:val="false"/>
          <w:iCs w:val="false"/>
          <w:sz w:val="26"/>
          <w:szCs w:val="26"/>
          <w:rtl/>
        </w:rPr>
        <w:t xml:space="preserve">المادة (2): الغرض من النظام الداخلي</w:t>
      </w:r>
    </w:p>
    <w:p>
      <w:pPr>
        <w:bidi/>
        <w:spacing w:after="120" w:before="0" w:line="276"/>
        <w:jc w:val="right"/>
      </w:pPr>
      <w:r>
        <w:rPr>
          <w:rFonts w:ascii="Arial" w:cs="Arial" w:eastAsia="Arial" w:hAnsi="Arial"/>
          <w:b w:val="false"/>
          <w:bCs w:val="false"/>
          <w:i w:val="false"/>
          <w:iCs w:val="false"/>
          <w:sz w:val="22"/>
          <w:szCs w:val="22"/>
          <w:rtl/>
        </w:rPr>
        <w:t xml:space="preserve">ينظّم هذا النظام علاقة العمل بما يضمن: (1) وضوح الحقوق والواجبات، (2) رفع الانضباط والجودة، (3) تقليل الأخطاء والهدر، (4) حماية الأموال والأصول، (5) بيئة آمنة ومحفِّزة، (6) الامتثال للقوانين العراقية النافذة (خاصة قانون العمل رقم 37 لسنة 2015).</w:t>
      </w:r>
    </w:p>
    <w:p>
      <w:pPr>
        <w:pStyle w:val="Heading2"/>
        <w:bidi/>
        <w:spacing w:after="120" w:before="200"/>
        <w:jc w:val="right"/>
      </w:pPr>
      <w:r>
        <w:rPr>
          <w:rFonts w:ascii="Arial" w:cs="Arial" w:eastAsia="Arial" w:hAnsi="Arial"/>
          <w:b/>
          <w:bCs/>
          <w:i w:val="false"/>
          <w:iCs w:val="false"/>
          <w:sz w:val="26"/>
          <w:szCs w:val="26"/>
          <w:rtl/>
        </w:rPr>
        <w:t xml:space="preserve">المادة (3): نطاق التطبيق</w:t>
      </w:r>
    </w:p>
    <w:p>
      <w:pPr>
        <w:bidi/>
        <w:spacing w:after="120" w:before="0" w:line="276"/>
        <w:jc w:val="right"/>
      </w:pPr>
      <w:r>
        <w:rPr>
          <w:rFonts w:ascii="Arial" w:cs="Arial" w:eastAsia="Arial" w:hAnsi="Arial"/>
          <w:b w:val="false"/>
          <w:bCs w:val="false"/>
          <w:i w:val="false"/>
          <w:iCs w:val="false"/>
          <w:sz w:val="22"/>
          <w:szCs w:val="22"/>
          <w:rtl/>
        </w:rPr>
        <w:t xml:space="preserve">يسري على جميع من يعمل لدى الورشة بأي صفة: دوام كامل، دوام جزئي، عقد محدد، بالساعة/بمناوبات، بالمهمة، تدريب، تعاون خارجي، وكذلك على الشركاء التشغيليين فيما لا يتعارض مع اتفاقيات شراكتهم.</w:t>
      </w:r>
    </w:p>
    <w:p>
      <w:pPr>
        <w:bidi/>
        <w:spacing w:after="120" w:before="0" w:line="276"/>
        <w:jc w:val="right"/>
      </w:pPr>
      <w:r>
        <w:rPr>
          <w:rFonts w:ascii="Arial" w:cs="Arial" w:eastAsia="Arial" w:hAnsi="Arial"/>
          <w:b w:val="false"/>
          <w:bCs w:val="false"/>
          <w:i w:val="false"/>
          <w:iCs w:val="false"/>
          <w:sz w:val="22"/>
          <w:szCs w:val="22"/>
          <w:rtl/>
        </w:rPr>
        <w:t xml:space="preserve">يبدأ سريان الالتزام من تاريخ توقيع العامل/الموظف على النظام أو على إشعار الاستلام المعتمد. وتُطبَّق المواد الخاصة بكل فئة بحسب فصلها.</w:t>
      </w:r>
    </w:p>
    <w:p>
      <w:pPr>
        <w:pStyle w:val="Heading2"/>
        <w:bidi/>
        <w:spacing w:after="120" w:before="200"/>
        <w:jc w:val="right"/>
      </w:pPr>
      <w:r>
        <w:rPr>
          <w:rFonts w:ascii="Arial" w:cs="Arial" w:eastAsia="Arial" w:hAnsi="Arial"/>
          <w:b/>
          <w:bCs/>
          <w:i w:val="false"/>
          <w:iCs w:val="false"/>
          <w:sz w:val="26"/>
          <w:szCs w:val="26"/>
          <w:rtl/>
        </w:rPr>
        <w:t xml:space="preserve">المادة (4): المبادئ الأساسية والقيم</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الالتزام: احترام الوقت والمهام والإجراءات.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الجودة: إنجاز العمل وفق المواصفات واعتماد فحص الجودة في كل مرحلة.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الأمانة: حماية أموال الورشة وأصولها وبياناتها وعدم إساءة الاستخدام.</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الاحترام: تعامل مهني داخل الفريق ومع العملاء دون إساءة أو تمييز.</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السلامة: اعتبار السلامة المهنية شرطاً أعلى من السرعة أو الربح.</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التطوير والتوسّع المنضبط: التعلّم المستمر، أتمتة العمل، والنمو عمودياً وأفقياً وفق نظام موثّق.</w:t>
      </w:r>
    </w:p>
    <w:p>
      <w:pPr>
        <w:pStyle w:val="Heading2"/>
        <w:bidi/>
        <w:spacing w:after="120" w:before="200"/>
        <w:jc w:val="right"/>
      </w:pPr>
      <w:r>
        <w:rPr>
          <w:rFonts w:ascii="Arial" w:cs="Arial" w:eastAsia="Arial" w:hAnsi="Arial"/>
          <w:b/>
          <w:bCs/>
          <w:i w:val="false"/>
          <w:iCs w:val="false"/>
          <w:sz w:val="26"/>
          <w:szCs w:val="26"/>
          <w:rtl/>
        </w:rPr>
        <w:t xml:space="preserve">المادة (5): التعاريف والمصطلحات</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6600"/>
        <w:gridCol w:w="2426"/>
      </w:tblGrid>
      <w:tr>
        <w:trPr>
          <w:tblHeader/>
        </w:trPr>
        <w:tc>
          <w:tcPr>
            <w:tcW w:type="dxa" w:w="66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التعريف</w:t>
            </w:r>
          </w:p>
        </w:tc>
        <w:tc>
          <w:tcPr>
            <w:tcW w:type="dxa" w:w="24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المصطلح</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الكيان التشغيلي وجميع مواقعه بما فيها مواقع المشاريع الخارجية والمنظومة الرقمية.</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الورشة</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المالك/مجلس الإدارة المعتمد، صاحب صلاحية القرار الاستراتيجي.</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الإدارة العليا</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المرجع التنفيذي اليومي المسؤول عن تشغيل الأقسام وتنسيقها.</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مدير العمليات</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وحدة عمل إنتاجية/خدمية/مساندة لها مدير ومسار تشغيل ومعايير جودة، وقد تكون مكتملة أو قيد الإنشاء أو فكرة.</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القسم / الخط</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تصنيف يصف نضج القسم: مكتمل (يعمل فعلياً) / قيد الإنشاء (مُعتمد ويُبنى) / فكرة (مقترح قيد الدراسة).</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حالة القسم</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تصنيف يوم العامل في النظام الرقمي يحدِّد احتساب أجره وإضافيّه وغراماته (انظر الملحق ج).</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حالة الدوام</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معفى يُحتسب أجره على ساعات الحضور الفعلية فقط، بلا إضافي وبلا غرامات.</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معفى بالساعات</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من يتقاضى نسبة (مبيعات/أرباح/إنجاز) بصفته موظفاً، دون تحمّل خسارة أو حقوق ملكية.</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موظف بنسبة</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من يتقاسم ربح/خسارة قسمٍ وفق اتفاقية شراكة، وله التزامات وحقوق حوكمة محددة.</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شريك تشغيلي</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النظام الرقمي المعتمد (Octagon ERP) لتسجيل الحضور والرواتب والمالية والمخزون ونقطة البيع.</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النظام الرقمي</w:t>
            </w:r>
          </w:p>
        </w:tc>
      </w:tr>
      <w:tr>
        <w:tc>
          <w:tcPr>
            <w:tcW w:type="dxa" w:w="6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جدول يحدِّد من يملك حق اعتماد قرار مالي/تشغيلي وبأي سقف.</w:t>
            </w:r>
          </w:p>
        </w:tc>
        <w:tc>
          <w:tcPr>
            <w:tcW w:type="dxa" w:w="24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مصفوفة الصلاحيات</w:t>
            </w:r>
          </w:p>
        </w:tc>
      </w:tr>
    </w:tbl>
    <w:p>
      <w:pPr>
        <w:pStyle w:val="Heading2"/>
        <w:bidi/>
        <w:spacing w:after="120" w:before="200"/>
        <w:jc w:val="right"/>
      </w:pPr>
      <w:r>
        <w:rPr>
          <w:rFonts w:ascii="Arial" w:cs="Arial" w:eastAsia="Arial" w:hAnsi="Arial"/>
          <w:b/>
          <w:bCs/>
          <w:i w:val="false"/>
          <w:iCs w:val="false"/>
          <w:sz w:val="26"/>
          <w:szCs w:val="26"/>
          <w:rtl/>
        </w:rPr>
        <w:t xml:space="preserve">المادة (6): آلية التعديل والإصدارات</w:t>
      </w:r>
    </w:p>
    <w:p>
      <w:pPr>
        <w:bidi/>
        <w:spacing w:after="120" w:before="0" w:line="276"/>
        <w:jc w:val="right"/>
      </w:pPr>
      <w:r>
        <w:rPr>
          <w:rFonts w:ascii="Arial" w:cs="Arial" w:eastAsia="Arial" w:hAnsi="Arial"/>
          <w:b w:val="false"/>
          <w:bCs w:val="false"/>
          <w:i w:val="false"/>
          <w:iCs w:val="false"/>
          <w:sz w:val="22"/>
          <w:szCs w:val="22"/>
          <w:rtl/>
        </w:rPr>
        <w:t xml:space="preserve">تحتفظ الإدارة العليا بحق تعديل النظام عند الحاجة التشغيلية أو القانونية، على أن: (1) تُصدر نسخة جديدة برقم إصدار وتاريخ، (2) يُشعَر العاملون رسمياً، (3) تُمنح فترة اطلاع لا تقل عن 30 يوم عمل للتعديلات الجوهرية ما لم تقتضِ السلامة/القانون تطبيقاً عاجلاً، (4) تُؤرشف النسخ السابقة ويُحفظ سجل تعديلات (Change Log) — انظر المادة (52).</w:t>
      </w:r>
    </w:p>
    <w:p>
      <w:pPr>
        <w:pStyle w:val="Heading1"/>
        <w:pageBreakBefore/>
        <w:bidi/>
        <w:spacing w:after="160" w:before="240"/>
        <w:jc w:val="right"/>
      </w:pPr>
      <w:r>
        <w:rPr>
          <w:rFonts w:ascii="Arial" w:cs="Arial" w:eastAsia="Arial" w:hAnsi="Arial"/>
          <w:b/>
          <w:bCs/>
          <w:i w:val="false"/>
          <w:iCs w:val="false"/>
          <w:sz w:val="30"/>
          <w:szCs w:val="30"/>
          <w:rtl/>
        </w:rPr>
        <w:t xml:space="preserve">الفصل الثاني: الحوكمة والهيكل الإداري</w:t>
      </w:r>
    </w:p>
    <w:p>
      <w:pPr>
        <w:pStyle w:val="Heading2"/>
        <w:bidi/>
        <w:spacing w:after="120" w:before="200"/>
        <w:jc w:val="right"/>
      </w:pPr>
      <w:r>
        <w:rPr>
          <w:rFonts w:ascii="Arial" w:cs="Arial" w:eastAsia="Arial" w:hAnsi="Arial"/>
          <w:b/>
          <w:bCs/>
          <w:i w:val="false"/>
          <w:iCs w:val="false"/>
          <w:sz w:val="26"/>
          <w:szCs w:val="26"/>
          <w:rtl/>
        </w:rPr>
        <w:t xml:space="preserve">المادة (7): مبادئ الحوكمة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الفصل بين (من يطلب) و(من يعتمد) و(من يصرف).</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توثيق جميع القرارات المالية والعقود والتغييرات في النظام الرقمي.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تتبّع المسؤولية عبر وثائق تشغيل رسمية (ملفات مشروع/محاضر/نماذج).</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منع تضارب المصالح وإساءة استخدام الموارد، ومنع نشوء «جزر داخلية» تستأثر بالبيع والتسعير والتحصيل.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العدالة الإجرائية في التحقيقات والعقوبات.</w:t>
      </w:r>
    </w:p>
    <w:p>
      <w:pPr>
        <w:pStyle w:val="Heading2"/>
        <w:bidi/>
        <w:spacing w:after="120" w:before="200"/>
        <w:jc w:val="right"/>
      </w:pPr>
      <w:r>
        <w:rPr>
          <w:rFonts w:ascii="Arial" w:cs="Arial" w:eastAsia="Arial" w:hAnsi="Arial"/>
          <w:b/>
          <w:bCs/>
          <w:i w:val="false"/>
          <w:iCs w:val="false"/>
          <w:sz w:val="26"/>
          <w:szCs w:val="26"/>
          <w:rtl/>
        </w:rPr>
        <w:t xml:space="preserve">المادة (8): الهيكل الإداري العام</w:t>
      </w:r>
    </w:p>
    <w:p>
      <w:pPr>
        <w:bidi/>
        <w:spacing w:after="120" w:before="0" w:line="276"/>
        <w:jc w:val="right"/>
      </w:pPr>
      <w:r>
        <w:rPr>
          <w:rFonts w:ascii="Arial" w:cs="Arial" w:eastAsia="Arial" w:hAnsi="Arial"/>
          <w:b w:val="false"/>
          <w:bCs w:val="false"/>
          <w:i w:val="false"/>
          <w:iCs w:val="false"/>
          <w:sz w:val="22"/>
          <w:szCs w:val="22"/>
          <w:rtl/>
        </w:rPr>
        <w:t xml:space="preserve">يُدار العمل عبر مستويات واضحة: (1) الإدارة العليا، (2) مدير العمليات، (3) الإدارة المالية، (4) الموارد البشرية، (5) إدارات الأقسام/الخطوط، (6) السلامة والجودة (HSE+QC)، (7) قسم النظام الرقمي والذكاء الاصطناعي (AI TEAM) المساند لكل ما سبق — انظر الفصل الثالث والملحق أ.</w:t>
      </w:r>
    </w:p>
    <w:p>
      <w:pPr>
        <w:pStyle w:val="Heading2"/>
        <w:bidi/>
        <w:spacing w:after="120" w:before="200"/>
        <w:jc w:val="right"/>
      </w:pPr>
      <w:r>
        <w:rPr>
          <w:rFonts w:ascii="Arial" w:cs="Arial" w:eastAsia="Arial" w:hAnsi="Arial"/>
          <w:b/>
          <w:bCs/>
          <w:i w:val="false"/>
          <w:iCs w:val="false"/>
          <w:sz w:val="26"/>
          <w:szCs w:val="26"/>
          <w:rtl/>
        </w:rPr>
        <w:t xml:space="preserve">المادة (9): مبدأ التوسّع العمودي والأفقي</w:t>
      </w:r>
    </w:p>
    <w:p>
      <w:pPr>
        <w:bidi/>
        <w:spacing w:after="120" w:before="0" w:line="276"/>
        <w:jc w:val="right"/>
      </w:pPr>
      <w:r>
        <w:rPr>
          <w:rFonts w:ascii="Arial" w:cs="Arial" w:eastAsia="Arial" w:hAnsi="Arial"/>
          <w:b w:val="false"/>
          <w:bCs w:val="false"/>
          <w:i w:val="false"/>
          <w:iCs w:val="false"/>
          <w:sz w:val="22"/>
          <w:szCs w:val="22"/>
          <w:rtl/>
        </w:rPr>
        <w:t xml:space="preserve">تتبنّى الورشة نمو المؤسسة على محورين متكاملين:</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bidi/>
        <w:spacing w:after="120" w:before="0" w:line="276"/>
        <w:jc w:val="right"/>
      </w:pPr>
      <w:r>
        <w:rPr>
          <w:rFonts w:ascii="Arial" w:cs="Arial" w:eastAsia="Arial" w:hAnsi="Arial"/>
          <w:b w:val="false"/>
          <w:bCs w:val="false"/>
          <w:i w:val="false"/>
          <w:iCs w:val="false"/>
          <w:sz w:val="22"/>
          <w:szCs w:val="22"/>
          <w:rtl/>
        </w:rPr>
        <w:t xml:space="preserve">كل توسّع يُعتمَد ويُوثَّق ويُسجَّل في «سجل الأقسام» بحالته (مكتمل/قيد الإنشاء/فكرة)، مع نموذج تشغيل ومحاسبة منفصلة.</w:t>
      </w:r>
    </w:p>
    <w:p>
      <w:pPr>
        <w:pStyle w:val="Heading2"/>
        <w:bidi/>
        <w:spacing w:after="120" w:before="200"/>
        <w:jc w:val="right"/>
      </w:pPr>
      <w:r>
        <w:rPr>
          <w:rFonts w:ascii="Arial" w:cs="Arial" w:eastAsia="Arial" w:hAnsi="Arial"/>
          <w:b/>
          <w:bCs/>
          <w:i w:val="false"/>
          <w:iCs w:val="false"/>
          <w:sz w:val="26"/>
          <w:szCs w:val="26"/>
          <w:rtl/>
        </w:rPr>
        <w:t xml:space="preserve">المادة (10): لجان الاعتماد والانضباط والسلامة والجودة</w:t>
      </w:r>
    </w:p>
    <w:p>
      <w:pPr>
        <w:bidi/>
        <w:spacing w:after="120" w:before="0" w:line="276"/>
        <w:jc w:val="right"/>
      </w:pPr>
      <w:r>
        <w:rPr>
          <w:rFonts w:ascii="Arial" w:cs="Arial" w:eastAsia="Arial" w:hAnsi="Arial"/>
          <w:b w:val="false"/>
          <w:bCs w:val="false"/>
          <w:i w:val="false"/>
          <w:iCs w:val="false"/>
          <w:sz w:val="22"/>
          <w:szCs w:val="22"/>
          <w:rtl/>
        </w:rPr>
        <w:t xml:space="preserve">تعتمد الورشة لجاناً بمحاضر مكتوبة تُحفظ في الأرشيف: لجنة الاعتماد المالي، لجنة الانضباط، لجنة السلامة، لجنة الجودة (مع تجنّب تضارب المصالح في تشكيلها).</w:t>
      </w:r>
    </w:p>
    <w:p>
      <w:pPr>
        <w:pStyle w:val="Heading2"/>
        <w:bidi/>
        <w:spacing w:after="120" w:before="200"/>
        <w:jc w:val="right"/>
      </w:pPr>
      <w:r>
        <w:rPr>
          <w:rFonts w:ascii="Arial" w:cs="Arial" w:eastAsia="Arial" w:hAnsi="Arial"/>
          <w:b/>
          <w:bCs/>
          <w:i w:val="false"/>
          <w:iCs w:val="false"/>
          <w:sz w:val="26"/>
          <w:szCs w:val="26"/>
          <w:rtl/>
        </w:rPr>
        <w:t xml:space="preserve">المادة (11): مصفوفة الصلاحيات وحدود الاعتماد</w:t>
      </w:r>
    </w:p>
    <w:p>
      <w:pPr>
        <w:bidi/>
        <w:spacing w:after="120" w:before="0" w:line="276"/>
        <w:jc w:val="right"/>
      </w:pPr>
      <w:r>
        <w:rPr>
          <w:rFonts w:ascii="Arial" w:cs="Arial" w:eastAsia="Arial" w:hAnsi="Arial"/>
          <w:b w:val="false"/>
          <w:bCs w:val="false"/>
          <w:i w:val="false"/>
          <w:iCs w:val="false"/>
          <w:sz w:val="22"/>
          <w:szCs w:val="22"/>
          <w:rtl/>
        </w:rPr>
        <w:t xml:space="preserve">تُعتمد مصفوفة صلاحيات (الملحق ب) تحدِّد سقوف الاعتماد المالي والتشغيلي وفق المستويات. ويُمنع أي صرف أو التزام خارج السقوف، كما يُمنع منح خصومات للعملاء دون اعتماد مالي مكتوب.</w:t>
      </w:r>
    </w:p>
    <w:p>
      <w:pPr>
        <w:pStyle w:val="Heading2"/>
        <w:bidi/>
        <w:spacing w:after="120" w:before="200"/>
        <w:jc w:val="right"/>
      </w:pPr>
      <w:r>
        <w:rPr>
          <w:rFonts w:ascii="Arial" w:cs="Arial" w:eastAsia="Arial" w:hAnsi="Arial"/>
          <w:b/>
          <w:bCs/>
          <w:i w:val="false"/>
          <w:iCs w:val="false"/>
          <w:sz w:val="26"/>
          <w:szCs w:val="26"/>
          <w:rtl/>
        </w:rPr>
        <w:t xml:space="preserve">المادة (12): التفويض والإنابة وسلسلة القيادة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التفويض مكتوب ويحدِّد: المهمة، المدة، الصلاحيات، حدود الاعتماد.</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لكل منصب حرج بديل (Backup) معتمد عند الغياب.</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لا يجوز تجاوز المسؤول المباشر إلا في: السلامة، التهديد، فساد مالي، تعارض مصالح مثبت.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أي توجيه شفهي في قرار جوهري (مالي/عقوبة/تغيير نطاق) يُثبَّت كتابياً خلال 24 ساعة.</w:t>
      </w:r>
    </w:p>
    <w:p>
      <w:pPr>
        <w:pStyle w:val="Heading1"/>
        <w:pageBreakBefore/>
        <w:bidi/>
        <w:spacing w:after="160" w:before="240"/>
        <w:jc w:val="right"/>
      </w:pPr>
      <w:r>
        <w:rPr>
          <w:rFonts w:ascii="Arial" w:cs="Arial" w:eastAsia="Arial" w:hAnsi="Arial"/>
          <w:b/>
          <w:bCs/>
          <w:i w:val="false"/>
          <w:iCs w:val="false"/>
          <w:sz w:val="30"/>
          <w:szCs w:val="30"/>
          <w:rtl/>
        </w:rPr>
        <w:t xml:space="preserve">الفصل الثالث: الأقسام والخطوط وسجل التوسّع (مستحدث)</w:t>
      </w:r>
    </w:p>
    <w:p>
      <w:pPr>
        <w:pStyle w:val="Heading2"/>
        <w:bidi/>
        <w:spacing w:after="120" w:before="200"/>
        <w:jc w:val="right"/>
      </w:pPr>
      <w:r>
        <w:rPr>
          <w:rFonts w:ascii="Arial" w:cs="Arial" w:eastAsia="Arial" w:hAnsi="Arial"/>
          <w:b/>
          <w:bCs/>
          <w:i w:val="false"/>
          <w:iCs w:val="false"/>
          <w:sz w:val="26"/>
          <w:szCs w:val="26"/>
          <w:rtl/>
        </w:rPr>
        <w:t xml:space="preserve">المادة (13): خطوط PENTAGON الخمسة</w:t>
      </w:r>
    </w:p>
    <w:p>
      <w:pPr>
        <w:bidi/>
        <w:spacing w:after="120" w:before="0" w:line="276"/>
        <w:jc w:val="right"/>
      </w:pPr>
      <w:r>
        <w:rPr>
          <w:rFonts w:ascii="Arial" w:cs="Arial" w:eastAsia="Arial" w:hAnsi="Arial"/>
          <w:b w:val="false"/>
          <w:bCs w:val="false"/>
          <w:i w:val="false"/>
          <w:iCs w:val="false"/>
          <w:sz w:val="22"/>
          <w:szCs w:val="22"/>
          <w:rtl/>
        </w:rPr>
        <w:t xml:space="preserve">تعتمد الورشة خمسة خطوط عمل أساسية، لكل خط مدير ومسار تشغيل ومعايير جودة ودورة محاسبية منفصلة: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خط الطباعة والتغليف: طباعة رقمية، فينيل/UV، تغليف، قص وتجهيزات ما بعد الطباعة.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خط الساينج واللافتات والإنارة: لوحات داخلية/خارجية، حروف مضيئة LED/نيون، هياكل معدنية، تمديدات إنارة، تركيبات ميدانية.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خط المنتجات المخصصة: هدايا ودروع، أعمال ليزر/فايبر/روتر وأكريليك، تجميع وتغليف بكميات بمعايير ثابتة.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خط التصميم المعماري والديكور: تصاميم ومخططات، واجهات وأكشاك، تنفيذ جزئي/كامل وفق عقود.</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خط الكميونيتي والتدريب: عضويات، دورات تدريبية، استخدام أدوات بإشراف، فعاليات ومعارض.</w:t>
      </w:r>
    </w:p>
    <w:p>
      <w:pPr>
        <w:bidi/>
        <w:spacing w:after="120" w:before="0" w:line="276"/>
        <w:jc w:val="right"/>
      </w:pPr>
      <w:r>
        <w:rPr>
          <w:rFonts w:ascii="Arial" w:cs="Arial" w:eastAsia="Arial" w:hAnsi="Arial"/>
          <w:b w:val="false"/>
          <w:bCs w:val="false"/>
          <w:i w:val="false"/>
          <w:iCs w:val="false"/>
          <w:sz w:val="22"/>
          <w:szCs w:val="22"/>
          <w:rtl/>
        </w:rPr>
        <w:t xml:space="preserve">يُمنع خلط الإيرادات والتكاليف بين الخطوط دون توثيق محاسبي يوضّح نسبة المشاركة والتكلفة المشتركة.</w:t>
      </w:r>
    </w:p>
    <w:p>
      <w:pPr>
        <w:pStyle w:val="Heading2"/>
        <w:bidi/>
        <w:spacing w:after="120" w:before="200"/>
        <w:jc w:val="right"/>
      </w:pPr>
      <w:r>
        <w:rPr>
          <w:rFonts w:ascii="Arial" w:cs="Arial" w:eastAsia="Arial" w:hAnsi="Arial"/>
          <w:b/>
          <w:bCs/>
          <w:i w:val="false"/>
          <w:iCs w:val="false"/>
          <w:sz w:val="26"/>
          <w:szCs w:val="26"/>
          <w:rtl/>
        </w:rPr>
        <w:t xml:space="preserve">المادة (14): قسم الذكاء الاصطناعي والنظام الرقمي (AI TEAM) — مستحدث</w:t>
      </w:r>
    </w:p>
    <w:p>
      <w:pPr>
        <w:bidi/>
        <w:spacing w:after="120" w:before="0" w:line="276"/>
        <w:jc w:val="right"/>
      </w:pPr>
      <w:r>
        <w:rPr>
          <w:rFonts w:ascii="Arial" w:cs="Arial" w:eastAsia="Arial" w:hAnsi="Arial"/>
          <w:b w:val="false"/>
          <w:bCs w:val="false"/>
          <w:i w:val="false"/>
          <w:iCs w:val="false"/>
          <w:sz w:val="22"/>
          <w:szCs w:val="22"/>
          <w:rtl/>
        </w:rPr>
        <w:t xml:space="preserve">قسم مساند (توسّع عمودي) مسؤول عن بناء وتشغيل النظام الرقمي (Octagon ERP) وأتمتة العمل، ويشمل: التايم شيت والرواتب الآلية، المالية والمحاسبة، نقطة البيع والمخزون، التحليلات والتقارير، الأتمتة، ومساعد الذكاء الاصطناعي. يدعم القسم بقية الأقسام أفقياً، ويُمكن أن يقدّم خدمات رقمية للخارج مستقبلاً (توسّع أفقي). حالته الحالية: قيد الإنشاء.</w:t>
      </w:r>
    </w:p>
    <w:p>
      <w:pPr>
        <w:pStyle w:val="Heading2"/>
        <w:bidi/>
        <w:spacing w:after="120" w:before="200"/>
        <w:jc w:val="right"/>
      </w:pPr>
      <w:r>
        <w:rPr>
          <w:rFonts w:ascii="Arial" w:cs="Arial" w:eastAsia="Arial" w:hAnsi="Arial"/>
          <w:b/>
          <w:bCs/>
          <w:i w:val="false"/>
          <w:iCs w:val="false"/>
          <w:sz w:val="26"/>
          <w:szCs w:val="26"/>
          <w:rtl/>
        </w:rPr>
        <w:t xml:space="preserve">المادة (15): سجل الأقسام وتصنيف الحالة</w:t>
      </w:r>
    </w:p>
    <w:p>
      <w:pPr>
        <w:bidi/>
        <w:spacing w:after="120" w:before="0" w:line="276"/>
        <w:jc w:val="right"/>
      </w:pPr>
      <w:r>
        <w:rPr>
          <w:rFonts w:ascii="Arial" w:cs="Arial" w:eastAsia="Arial" w:hAnsi="Arial"/>
          <w:b w:val="false"/>
          <w:bCs w:val="false"/>
          <w:i w:val="false"/>
          <w:iCs w:val="false"/>
          <w:sz w:val="22"/>
          <w:szCs w:val="22"/>
          <w:rtl/>
        </w:rPr>
        <w:t xml:space="preserve">يُعتمد «سجل الأقسام» (الملحق هـ) مرجعاً حيّاً لكل قسم/خط مع حالته ونموذج تشغيله والمسؤول عنه. ودلالات الحالة: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bidi/>
        <w:spacing w:after="120" w:before="0" w:line="276"/>
        <w:jc w:val="right"/>
      </w:pPr>
      <w:r>
        <w:rPr>
          <w:rFonts w:ascii="Arial" w:cs="Arial" w:eastAsia="Arial" w:hAnsi="Arial"/>
          <w:b w:val="false"/>
          <w:bCs w:val="false"/>
          <w:i w:val="false"/>
          <w:iCs w:val="false"/>
          <w:sz w:val="22"/>
          <w:szCs w:val="22"/>
          <w:rtl/>
        </w:rPr>
        <w:t xml:space="preserve">قد يصل عدد الأقسام إلى نحو ثمانية مع التوسّع. ويُحدَّث السجل باعتماد الإدارة كلما تغيّرت حالة قسم أو أُضيف قسم جديد.</w:t>
      </w:r>
    </w:p>
    <w:p>
      <w:pPr>
        <w:spacing w:after="40"/>
      </w:pP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1500"/>
        <w:gridCol w:w="1500"/>
        <w:gridCol w:w="1400"/>
        <w:gridCol w:w="1500"/>
        <w:gridCol w:w="2126"/>
      </w:tblGrid>
      <w:tr>
        <w:trPr>
          <w:tblHeader/>
        </w:trPr>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نموذج التشغيل</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الحالة</w:t>
            </w:r>
          </w:p>
        </w:tc>
        <w:tc>
          <w:tcPr>
            <w:tcW w:type="dxa" w:w="14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النوع</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القسم / الخط</w:t>
            </w:r>
          </w:p>
        </w:tc>
        <w:tc>
          <w:tcPr>
            <w:tcW w:type="dxa" w:w="21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داخلي</w:t>
            </w:r>
          </w:p>
        </w:tc>
        <w:tc>
          <w:tcPr>
            <w:tcW w:type="dxa" w:w="15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خط إنتاج</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الطباعة والتغليف</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1</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داخلي</w:t>
            </w:r>
          </w:p>
        </w:tc>
        <w:tc>
          <w:tcPr>
            <w:tcW w:type="dxa" w:w="15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خط إنتاج</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الساينج واللافتات والإنارة</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2</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داخلي</w:t>
            </w:r>
          </w:p>
        </w:tc>
        <w:tc>
          <w:tcPr>
            <w:tcW w:type="dxa" w:w="15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خط إنتاج</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المنتجات المخصصة</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3</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داخلي/مشاريع</w:t>
            </w:r>
          </w:p>
        </w:tc>
        <w:tc>
          <w:tcPr>
            <w:tcW w:type="dxa" w:w="15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خط خدمي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التصميم المعماري والديكور</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4</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عضويات/دورات</w:t>
            </w:r>
          </w:p>
        </w:tc>
        <w:tc>
          <w:tcPr>
            <w:tcW w:type="dxa" w:w="15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خط خدمي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الكميونيتي والتدريب</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5</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داخلي + خدمات رقمية</w:t>
            </w:r>
          </w:p>
        </w:tc>
        <w:tc>
          <w:tcPr>
            <w:tcW w:type="dxa" w:w="15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مساند (عمودي)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AI TEAM — الذكاء الاصطناعي والنظام الرقمي</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6</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____</w:t>
            </w:r>
          </w:p>
        </w:tc>
        <w:tc>
          <w:tcPr>
            <w:tcW w:type="dxa" w:w="1500"/>
            <w:shd w:fill="FADBD8"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فكرة</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توسّع أفقي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____ (يُعبّأ)</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7</w:t>
            </w:r>
          </w:p>
        </w:tc>
      </w:tr>
      <w:tr>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____</w:t>
            </w:r>
          </w:p>
        </w:tc>
        <w:tc>
          <w:tcPr>
            <w:tcW w:type="dxa" w:w="1500"/>
            <w:shd w:fill="FADBD8"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فكرة</w:t>
            </w:r>
          </w:p>
        </w:tc>
        <w:tc>
          <w:tcPr>
            <w:tcW w:type="dxa" w:w="1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توسّع أفقي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____ (يُعبّأ)</w:t>
            </w:r>
          </w:p>
        </w:tc>
        <w:tc>
          <w:tcPr>
            <w:tcW w:type="dxa" w:w="21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8</w:t>
            </w:r>
          </w:p>
        </w:tc>
      </w:tr>
    </w:tbl>
    <w:p>
      <w:pPr>
        <w:bidi/>
        <w:spacing w:after="120" w:before="0" w:line="276"/>
        <w:jc w:val="right"/>
      </w:pPr>
      <w:r>
        <w:rPr>
          <w:rFonts w:ascii="Arial" w:cs="Arial" w:eastAsia="Arial" w:hAnsi="Arial"/>
          <w:b w:val="false"/>
          <w:bCs w:val="false"/>
          <w:i/>
          <w:iCs/>
          <w:sz w:val="20"/>
          <w:szCs w:val="20"/>
          <w:rtl/>
        </w:rPr>
        <w:t xml:space="preserve">ملاحظة: حالات الأقسام أعلاه قيم افتراضية مبدئية تُعتمد أو تُعدَّل من الإدارة؛ والصفّان 7 و8 مخصّصان لأقسام التوسّع المستقبلي (تُملأ أسماؤها وحالاتها عند إقرارها).</w:t>
      </w:r>
    </w:p>
    <w:p>
      <w:pPr>
        <w:pStyle w:val="Heading2"/>
        <w:bidi/>
        <w:spacing w:after="120" w:before="200"/>
        <w:jc w:val="right"/>
      </w:pPr>
      <w:r>
        <w:rPr>
          <w:rFonts w:ascii="Arial" w:cs="Arial" w:eastAsia="Arial" w:hAnsi="Arial"/>
          <w:b/>
          <w:bCs/>
          <w:i w:val="false"/>
          <w:iCs w:val="false"/>
          <w:sz w:val="26"/>
          <w:szCs w:val="26"/>
          <w:rtl/>
        </w:rPr>
        <w:t xml:space="preserve">المادة (15 مكرر): دلائل الأقسام والفرق التفصيلية</w:t>
      </w:r>
    </w:p>
    <w:p>
      <w:pPr>
        <w:bidi/>
        <w:spacing w:after="120" w:before="0" w:line="276"/>
        <w:jc w:val="right"/>
      </w:pPr>
      <w:r>
        <w:rPr>
          <w:rFonts w:ascii="Arial" w:cs="Arial" w:eastAsia="Arial" w:hAnsi="Arial"/>
          <w:b w:val="false"/>
          <w:bCs w:val="false"/>
          <w:i w:val="false"/>
          <w:iCs w:val="false"/>
          <w:sz w:val="22"/>
          <w:szCs w:val="22"/>
          <w:rtl/>
        </w:rPr>
        <w:t xml:space="preserve">لكل قسم/فريق دليلٌ موحّد يضم: نطاق العمل، الهيكل والفريق، إجراءات التشغيل (SOP)، مؤشرات الأداء (KPIs)، نموذج التعويض/الشراكة، الأدوات، والحالة. تُملأ الفراغات وتُجاب الأسئلة الملوّنة لإكمال كل دليل.</w:t>
      </w:r>
    </w:p>
    <w:p>
      <w:pPr>
        <w:pStyle w:val="Heading3"/>
        <w:bidi/>
        <w:spacing w:after="100" w:before="140"/>
        <w:jc w:val="right"/>
      </w:pPr>
      <w:r>
        <w:rPr>
          <w:rFonts w:ascii="Arial" w:cs="Arial" w:eastAsia="Arial" w:hAnsi="Arial"/>
          <w:b/>
          <w:bCs/>
          <w:i w:val="false"/>
          <w:iCs w:val="false"/>
          <w:sz w:val="23"/>
          <w:szCs w:val="23"/>
          <w:rtl/>
        </w:rPr>
        <w:t xml:space="preserve">1) قسم الطباعة والتغليف — (مكتمل)</w:t>
      </w:r>
    </w:p>
    <w:p>
      <w:pPr>
        <w:bidi/>
        <w:spacing w:after="120" w:before="0" w:line="276"/>
        <w:jc w:val="right"/>
      </w:pPr>
      <w:r>
        <w:rPr>
          <w:rFonts w:ascii="Arial" w:cs="Arial" w:eastAsia="Arial" w:hAnsi="Arial"/>
          <w:b/>
          <w:bCs/>
          <w:i w:val="false"/>
          <w:iCs w:val="false"/>
          <w:sz w:val="22"/>
          <w:szCs w:val="22"/>
          <w:rtl/>
        </w:rPr>
        <w:t xml:space="preserve">نطاق العمل: </w:t>
      </w:r>
      <w:r>
        <w:rPr>
          <w:rFonts w:ascii="Arial" w:cs="Arial" w:eastAsia="Arial" w:hAnsi="Arial"/>
          <w:b w:val="false"/>
          <w:bCs w:val="false"/>
          <w:i w:val="false"/>
          <w:iCs w:val="false"/>
          <w:sz w:val="22"/>
          <w:szCs w:val="22"/>
          <w:rtl/>
        </w:rPr>
        <w:t xml:space="preserve">طباعة رقمية، فينيل وUV، تغليف وتجليد، قص وثني وتجميع، إدارة ملفات التصاميم الطباعية.</w:t>
      </w:r>
    </w:p>
    <w:p>
      <w:pPr>
        <w:bidi/>
        <w:spacing w:after="120" w:before="0" w:line="276"/>
        <w:jc w:val="right"/>
      </w:pPr>
      <w:r>
        <w:rPr>
          <w:rFonts w:ascii="Arial" w:cs="Arial" w:eastAsia="Arial" w:hAnsi="Arial"/>
          <w:b/>
          <w:bCs/>
          <w:i w:val="false"/>
          <w:iCs w:val="false"/>
          <w:sz w:val="22"/>
          <w:szCs w:val="22"/>
          <w:rtl/>
        </w:rPr>
        <w:t xml:space="preserve">الهيكل: </w:t>
      </w:r>
      <w:r>
        <w:rPr>
          <w:rFonts w:ascii="Arial" w:cs="Arial" w:eastAsia="Arial" w:hAnsi="Arial"/>
          <w:b w:val="false"/>
          <w:bCs w:val="false"/>
          <w:i w:val="false"/>
          <w:iCs w:val="false"/>
          <w:sz w:val="22"/>
          <w:szCs w:val="22"/>
          <w:rtl/>
        </w:rPr>
        <w:t xml:space="preserve">مدير الخط ← مشرف الطباعة الرقمية (مشغّلو ماكينات + فني دعم) ← مشرف التجهيزات والقص (قص/ثني/تجميع) ← متابع الجودة والمخزن.</w:t>
      </w:r>
    </w:p>
    <w:p>
      <w:pPr>
        <w:bidi/>
        <w:spacing w:after="120" w:before="0" w:line="276"/>
        <w:jc w:val="right"/>
      </w:pPr>
      <w:r>
        <w:rPr>
          <w:rFonts w:ascii="Arial" w:cs="Arial" w:eastAsia="Arial" w:hAnsi="Arial"/>
          <w:b/>
          <w:bCs/>
          <w:i w:val="false"/>
          <w:iCs w:val="false"/>
          <w:sz w:val="22"/>
          <w:szCs w:val="22"/>
          <w:rtl/>
        </w:rPr>
        <w:t xml:space="preserve">إجراءات التشغيل (SOP): </w:t>
      </w:r>
      <w:r>
        <w:rPr>
          <w:rFonts w:ascii="Arial" w:cs="Arial" w:eastAsia="Arial" w:hAnsi="Arial"/>
          <w:b w:val="false"/>
          <w:bCs w:val="false"/>
          <w:i w:val="false"/>
          <w:iCs w:val="false"/>
          <w:sz w:val="22"/>
          <w:szCs w:val="22"/>
          <w:rtl/>
        </w:rPr>
        <w:t xml:space="preserve">استقبال وتقييم الطلب ← تحضير وضبط الماكينة + نموذج اختبار ← إنتاج ومراقبة جودة ← تجهيزات لاحقة (قص/ثني/تجميع) ← فحص جودة ← تخزين وتسليم بمحضر.</w:t>
      </w:r>
    </w:p>
    <w:p>
      <w:pPr>
        <w:bidi/>
        <w:spacing w:after="120" w:before="0" w:line="276"/>
        <w:jc w:val="right"/>
      </w:pPr>
      <w:r>
        <w:rPr>
          <w:rFonts w:ascii="Arial" w:cs="Arial" w:eastAsia="Arial" w:hAnsi="Arial"/>
          <w:b/>
          <w:bCs/>
          <w:i w:val="false"/>
          <w:iCs w:val="false"/>
          <w:sz w:val="22"/>
          <w:szCs w:val="22"/>
          <w:rtl/>
        </w:rPr>
        <w:t xml:space="preserve">مؤشرات الأداء (KPIs):</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3026"/>
        <w:gridCol w:w="3000"/>
        <w:gridCol w:w="3000"/>
      </w:tblGrid>
      <w:tr>
        <w:trPr>
          <w:tblHeader/>
        </w:trPr>
        <w:tc>
          <w:tcPr>
            <w:tcW w:type="dxa" w:w="30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المؤشر</w:t>
            </w:r>
          </w:p>
        </w:tc>
        <w:tc>
          <w:tcPr>
            <w:tcW w:type="dxa" w:w="3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الهدف</w:t>
            </w:r>
          </w:p>
        </w:tc>
        <w:tc>
          <w:tcPr>
            <w:tcW w:type="dxa" w:w="3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الفترة</w:t>
            </w:r>
          </w:p>
        </w:tc>
      </w:tr>
      <w:tr>
        <w:tc>
          <w:tcPr>
            <w:tcW w:type="dxa" w:w="3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إنتاجية الساعة</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80 وحدة/ساعة</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شهري</w:t>
            </w:r>
          </w:p>
        </w:tc>
      </w:tr>
      <w:tr>
        <w:tc>
          <w:tcPr>
            <w:tcW w:type="dxa" w:w="3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نسبة الأخطاء</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أقل من 2%</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شهري</w:t>
            </w:r>
          </w:p>
        </w:tc>
      </w:tr>
      <w:tr>
        <w:tc>
          <w:tcPr>
            <w:tcW w:type="dxa" w:w="3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دقة المواعيد</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95% في الموعد</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شهري</w:t>
            </w:r>
          </w:p>
        </w:tc>
      </w:tr>
      <w:tr>
        <w:tc>
          <w:tcPr>
            <w:tcW w:type="dxa" w:w="3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هدر الورق</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ضمن 5%</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شهري</w:t>
            </w:r>
          </w:p>
        </w:tc>
      </w:tr>
      <w:tr>
        <w:tc>
          <w:tcPr>
            <w:tcW w:type="dxa" w:w="3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توفّر الماكينات</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90% عمل فعلي</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شهري</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س1. قسم الطباعة: مَن مديره الحالي، وما نموذج تعويضه (راتب / راتب+نسبة / شريك)، وما النسبة وأساس احتسابها إن وُجدت؟</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2) قسم الساينج واللافتات والإنارة — (مكتمل)</w:t>
      </w:r>
    </w:p>
    <w:p>
      <w:pPr>
        <w:bidi/>
        <w:spacing w:after="120" w:before="0" w:line="276"/>
        <w:jc w:val="right"/>
      </w:pPr>
      <w:r>
        <w:rPr>
          <w:rFonts w:ascii="Arial" w:cs="Arial" w:eastAsia="Arial" w:hAnsi="Arial"/>
          <w:b/>
          <w:bCs/>
          <w:i w:val="false"/>
          <w:iCs w:val="false"/>
          <w:sz w:val="22"/>
          <w:szCs w:val="22"/>
          <w:rtl/>
        </w:rPr>
        <w:t xml:space="preserve">نطاق العمل: </w:t>
      </w:r>
      <w:r>
        <w:rPr>
          <w:rFonts w:ascii="Arial" w:cs="Arial" w:eastAsia="Arial" w:hAnsi="Arial"/>
          <w:b w:val="false"/>
          <w:bCs w:val="false"/>
          <w:i w:val="false"/>
          <w:iCs w:val="false"/>
          <w:sz w:val="22"/>
          <w:szCs w:val="22"/>
          <w:rtl/>
        </w:rPr>
        <w:t xml:space="preserve">لافتات داخلية/خارجية، حروف مضيئة LED/نيون، هياكل معدنية، تمديدات إنارة، تركيبات ميدانية وصيانة.</w:t>
      </w:r>
    </w:p>
    <w:p>
      <w:pPr>
        <w:bidi/>
        <w:spacing w:after="120" w:before="0" w:line="276"/>
        <w:jc w:val="right"/>
      </w:pPr>
      <w:r>
        <w:rPr>
          <w:rFonts w:ascii="Arial" w:cs="Arial" w:eastAsia="Arial" w:hAnsi="Arial"/>
          <w:b/>
          <w:bCs/>
          <w:i w:val="false"/>
          <w:iCs w:val="false"/>
          <w:sz w:val="22"/>
          <w:szCs w:val="22"/>
          <w:rtl/>
        </w:rPr>
        <w:t xml:space="preserve">الهيكل: </w:t>
      </w:r>
      <w:r>
        <w:rPr>
          <w:rFonts w:ascii="Arial" w:cs="Arial" w:eastAsia="Arial" w:hAnsi="Arial"/>
          <w:b w:val="false"/>
          <w:bCs w:val="false"/>
          <w:i w:val="false"/>
          <w:iCs w:val="false"/>
          <w:sz w:val="22"/>
          <w:szCs w:val="22"/>
          <w:rtl/>
        </w:rPr>
        <w:t xml:space="preserve">مدير الخط ← مشرف التصنيع المعدني (لحام/قص ليزر/تجميع) ← مشرف الأعمال الكهربائية (فنيّو كهرباء) ← مشرف التركيب الميداني (فريق 2–3) ← متخصص جودة وصيانة.</w:t>
      </w:r>
    </w:p>
    <w:p>
      <w:pPr>
        <w:bidi/>
        <w:spacing w:after="120" w:before="0" w:line="276"/>
        <w:jc w:val="right"/>
      </w:pPr>
      <w:r>
        <w:rPr>
          <w:rFonts w:ascii="Arial" w:cs="Arial" w:eastAsia="Arial" w:hAnsi="Arial"/>
          <w:b/>
          <w:bCs/>
          <w:i w:val="false"/>
          <w:iCs w:val="false"/>
          <w:sz w:val="22"/>
          <w:szCs w:val="22"/>
          <w:rtl/>
        </w:rPr>
        <w:t xml:space="preserve">إجراءات التشغيل (SOP): </w:t>
      </w:r>
      <w:r>
        <w:rPr>
          <w:rFonts w:ascii="Arial" w:cs="Arial" w:eastAsia="Arial" w:hAnsi="Arial"/>
          <w:b w:val="false"/>
          <w:bCs w:val="false"/>
          <w:i w:val="false"/>
          <w:iCs w:val="false"/>
          <w:sz w:val="22"/>
          <w:szCs w:val="22"/>
          <w:rtl/>
        </w:rPr>
        <w:t xml:space="preserve">استقبال وتقييم (موقع/مقاسات/تيار متاح/هياكل داعمة) ← تصنيع (قص/لحام/دهان) ← أعمال كهربائية (مصادر/دوائر/توثيق رسومات) ← تركيب ميداني (نقل/تثبيت آمن/توصيل/فحص سلامة) ← تسليم بمحضر + دليل صيانة وضمان.</w:t>
      </w:r>
    </w:p>
    <w:p>
      <w:pPr>
        <w:bidi/>
        <w:spacing w:after="120" w:before="0" w:line="276"/>
        <w:jc w:val="right"/>
      </w:pPr>
      <w:r>
        <w:rPr>
          <w:rFonts w:ascii="Arial" w:cs="Arial" w:eastAsia="Arial" w:hAnsi="Arial"/>
          <w:b/>
          <w:bCs/>
          <w:i w:val="false"/>
          <w:iCs w:val="false"/>
          <w:sz w:val="22"/>
          <w:szCs w:val="22"/>
          <w:rtl/>
        </w:rPr>
        <w:t xml:space="preserve">متطلبات المدير: </w:t>
      </w:r>
      <w:r>
        <w:rPr>
          <w:rFonts w:ascii="Arial" w:cs="Arial" w:eastAsia="Arial" w:hAnsi="Arial"/>
          <w:b w:val="false"/>
          <w:bCs w:val="false"/>
          <w:i w:val="false"/>
          <w:iCs w:val="false"/>
          <w:sz w:val="22"/>
          <w:szCs w:val="22"/>
          <w:rtl/>
        </w:rPr>
        <w:t xml:space="preserve">خبرة 4+ سنوات، معرفة بمعايير السلامة والأكواد الكهربائية وحساب الأحمال.</w:t>
      </w:r>
    </w:p>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س2. قسم الساينج: مديره الحالي، نموذج تعويضه، ومستهدفات KPIs (نسبة خطأ التركيب، دقة المواعيد، حوادث السلامة = صفر)؟</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3) قسم المنتجات المخصصة — (مكتمل)</w:t>
      </w:r>
    </w:p>
    <w:p>
      <w:pPr>
        <w:bidi/>
        <w:spacing w:after="120" w:before="0" w:line="276"/>
        <w:jc w:val="right"/>
      </w:pPr>
      <w:r>
        <w:rPr>
          <w:rFonts w:ascii="Arial" w:cs="Arial" w:eastAsia="Arial" w:hAnsi="Arial"/>
          <w:b/>
          <w:bCs/>
          <w:i w:val="false"/>
          <w:iCs w:val="false"/>
          <w:sz w:val="22"/>
          <w:szCs w:val="22"/>
          <w:rtl/>
        </w:rPr>
        <w:t xml:space="preserve">نطاق العمل: </w:t>
      </w:r>
      <w:r>
        <w:rPr>
          <w:rFonts w:ascii="Arial" w:cs="Arial" w:eastAsia="Arial" w:hAnsi="Arial"/>
          <w:b w:val="false"/>
          <w:bCs w:val="false"/>
          <w:i w:val="false"/>
          <w:iCs w:val="false"/>
          <w:sz w:val="22"/>
          <w:szCs w:val="22"/>
          <w:rtl/>
        </w:rPr>
        <w:t xml:space="preserve">هدايا ودروع، أعمال ليزر/فايبر/روتر وأكريليك، تجميع وتغليف، إنتاج كميات بمعايير ثابتة.</w:t>
      </w:r>
    </w:p>
    <w:tbl>
      <w:tblPr>
        <w:bidiVisual/>
        <w:tblW w:type="dxa" w:w="9026"/>
        <w:tblBorders>
          <w:top w:val="single" w:color="C0392B" w:sz="14"/>
          <w:left w:val="single" w:color="C0392B" w:sz="14"/>
          <w:bottom w:val="single" w:color="C0392B" w:sz="14"/>
          <w:right w:val="single" w:color="C0392B" w:sz="14"/>
          <w:insideH w:val="single" w:color="auto" w:sz="4"/>
          <w:insideV w:val="single" w:color="auto" w:sz="4"/>
        </w:tblBorders>
      </w:tblPr>
      <w:tblGrid>
        <w:gridCol w:w="9026"/>
      </w:tblGrid>
      <w:tr>
        <w:tc>
          <w:tcPr>
            <w:tcW w:type="dxa" w:w="9026"/>
            <w:shd w:fill="FCE4E4"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A4231B"/>
                <w:sz w:val="22"/>
                <w:szCs w:val="22"/>
                <w:rtl/>
              </w:rPr>
              <w:t xml:space="preserve">■ هذا القسم غير مُنجَز بعد — المطلوب إنجازه:</w:t>
            </w:r>
          </w:p>
          <w:p>
            <w:pPr>
              <w:bidi/>
              <w:spacing w:after="50" w:line="268"/>
              <w:jc w:val="right"/>
            </w:pPr>
            <w:r>
              <w:rPr>
                <w:rFonts w:ascii="Arial" w:cs="Arial" w:eastAsia="Arial" w:hAnsi="Arial"/>
                <w:b/>
                <w:bCs/>
                <w:i w:val="false"/>
                <w:iCs w:val="false"/>
                <w:color w:val="7A1A14"/>
                <w:sz w:val="21"/>
                <w:szCs w:val="21"/>
                <w:rtl/>
              </w:rPr>
              <w:t xml:space="preserve">المتبقّي لإكمال دليل المنتجات المخصصة:</w:t>
            </w:r>
          </w:p>
          <w:p>
            <w:pPr>
              <w:bidi/>
              <w:spacing w:after="50" w:line="268"/>
              <w:jc w:val="right"/>
            </w:pPr>
            <w:r>
              <w:rPr>
                <w:rFonts w:ascii="Arial" w:cs="Arial" w:eastAsia="Arial" w:hAnsi="Arial"/>
                <w:b w:val="false"/>
                <w:bCs w:val="false"/>
                <w:i w:val="false"/>
                <w:iCs w:val="false"/>
                <w:color w:val="7A1A14"/>
                <w:sz w:val="21"/>
                <w:szCs w:val="21"/>
                <w:rtl/>
              </w:rPr>
              <w:t xml:space="preserve">1) تثبيت الهيكل والفريق ومسمياتهم.</w:t>
            </w:r>
          </w:p>
          <w:p>
            <w:pPr>
              <w:bidi/>
              <w:spacing w:after="50" w:line="268"/>
              <w:jc w:val="right"/>
            </w:pPr>
            <w:r>
              <w:rPr>
                <w:rFonts w:ascii="Arial" w:cs="Arial" w:eastAsia="Arial" w:hAnsi="Arial"/>
                <w:b w:val="false"/>
                <w:bCs w:val="false"/>
                <w:i w:val="false"/>
                <w:iCs w:val="false"/>
                <w:color w:val="7A1A14"/>
                <w:sz w:val="21"/>
                <w:szCs w:val="21"/>
                <w:rtl/>
              </w:rPr>
              <w:t xml:space="preserve">2) كتابة إجراءات التشغيل (SOP) خطوة بخطوة.</w:t>
            </w:r>
          </w:p>
          <w:p>
            <w:pPr>
              <w:bidi/>
              <w:spacing w:after="50" w:line="268"/>
              <w:jc w:val="right"/>
            </w:pPr>
            <w:r>
              <w:rPr>
                <w:rFonts w:ascii="Arial" w:cs="Arial" w:eastAsia="Arial" w:hAnsi="Arial"/>
                <w:b w:val="false"/>
                <w:bCs w:val="false"/>
                <w:i w:val="false"/>
                <w:iCs w:val="false"/>
                <w:color w:val="7A1A14"/>
                <w:sz w:val="21"/>
                <w:szCs w:val="21"/>
                <w:rtl/>
              </w:rPr>
              <w:t xml:space="preserve">3) تحديد مستهدفات KPIs (إنتاجية/خطأ/مواعيد/هدر مواد).</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س3. قسم المنتجات المخصصة: المدير، نموذج التعويض، وأهم 3 مؤشرات أداء بمستهدفاتها؟</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4) قسم التصميم المعماري والديكور — (مكتمل)</w:t>
      </w:r>
    </w:p>
    <w:p>
      <w:pPr>
        <w:bidi/>
        <w:spacing w:after="120" w:before="0" w:line="276"/>
        <w:jc w:val="right"/>
      </w:pPr>
      <w:r>
        <w:rPr>
          <w:rFonts w:ascii="Arial" w:cs="Arial" w:eastAsia="Arial" w:hAnsi="Arial"/>
          <w:b/>
          <w:bCs/>
          <w:i w:val="false"/>
          <w:iCs w:val="false"/>
          <w:sz w:val="22"/>
          <w:szCs w:val="22"/>
          <w:rtl/>
        </w:rPr>
        <w:t xml:space="preserve">نطاق العمل: </w:t>
      </w:r>
      <w:r>
        <w:rPr>
          <w:rFonts w:ascii="Arial" w:cs="Arial" w:eastAsia="Arial" w:hAnsi="Arial"/>
          <w:b w:val="false"/>
          <w:bCs w:val="false"/>
          <w:i w:val="false"/>
          <w:iCs w:val="false"/>
          <w:sz w:val="22"/>
          <w:szCs w:val="22"/>
          <w:rtl/>
        </w:rPr>
        <w:t xml:space="preserve">تصاميم ومخططات وتصورات ثلاثية الأبعاد، واجهات وأكشاك وهياكل عرض، تنفيذ جزئي/كامل وفق عقود ومواصفات.</w:t>
      </w:r>
    </w:p>
    <w:tbl>
      <w:tblPr>
        <w:bidiVisual/>
        <w:tblW w:type="dxa" w:w="9026"/>
        <w:tblBorders>
          <w:top w:val="single" w:color="C0392B" w:sz="14"/>
          <w:left w:val="single" w:color="C0392B" w:sz="14"/>
          <w:bottom w:val="single" w:color="C0392B" w:sz="14"/>
          <w:right w:val="single" w:color="C0392B" w:sz="14"/>
          <w:insideH w:val="single" w:color="auto" w:sz="4"/>
          <w:insideV w:val="single" w:color="auto" w:sz="4"/>
        </w:tblBorders>
      </w:tblPr>
      <w:tblGrid>
        <w:gridCol w:w="9026"/>
      </w:tblGrid>
      <w:tr>
        <w:tc>
          <w:tcPr>
            <w:tcW w:type="dxa" w:w="9026"/>
            <w:shd w:fill="FCE4E4"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A4231B"/>
                <w:sz w:val="22"/>
                <w:szCs w:val="22"/>
                <w:rtl/>
              </w:rPr>
              <w:t xml:space="preserve">■ هذا القسم غير مُنجَز بعد — المطلوب إنجازه:</w:t>
            </w:r>
          </w:p>
          <w:p>
            <w:pPr>
              <w:bidi/>
              <w:spacing w:after="50" w:line="268"/>
              <w:jc w:val="right"/>
            </w:pPr>
            <w:r>
              <w:rPr>
                <w:rFonts w:ascii="Arial" w:cs="Arial" w:eastAsia="Arial" w:hAnsi="Arial"/>
                <w:b/>
                <w:bCs/>
                <w:i w:val="false"/>
                <w:iCs w:val="false"/>
                <w:color w:val="7A1A14"/>
                <w:sz w:val="21"/>
                <w:szCs w:val="21"/>
                <w:rtl/>
              </w:rPr>
              <w:t xml:space="preserve">المتبقّي لإكمال دليل قسم التصميم المعماري:</w:t>
            </w:r>
          </w:p>
          <w:p>
            <w:pPr>
              <w:bidi/>
              <w:spacing w:after="50" w:line="268"/>
              <w:jc w:val="right"/>
            </w:pPr>
            <w:r>
              <w:rPr>
                <w:rFonts w:ascii="Arial" w:cs="Arial" w:eastAsia="Arial" w:hAnsi="Arial"/>
                <w:b w:val="false"/>
                <w:bCs w:val="false"/>
                <w:i w:val="false"/>
                <w:iCs w:val="false"/>
                <w:color w:val="7A1A14"/>
                <w:sz w:val="21"/>
                <w:szCs w:val="21"/>
                <w:rtl/>
              </w:rPr>
              <w:t xml:space="preserve">1) تحديد فريق التصميم (معماري/داخلي/3D) ومستوياتهم.</w:t>
            </w:r>
          </w:p>
          <w:p>
            <w:pPr>
              <w:bidi/>
              <w:spacing w:after="50" w:line="268"/>
              <w:jc w:val="right"/>
            </w:pPr>
            <w:r>
              <w:rPr>
                <w:rFonts w:ascii="Arial" w:cs="Arial" w:eastAsia="Arial" w:hAnsi="Arial"/>
                <w:b w:val="false"/>
                <w:bCs w:val="false"/>
                <w:i w:val="false"/>
                <w:iCs w:val="false"/>
                <w:color w:val="7A1A14"/>
                <w:sz w:val="21"/>
                <w:szCs w:val="21"/>
                <w:rtl/>
              </w:rPr>
              <w:t xml:space="preserve">2) ربط مخرجات التصميم بمسار التسعير والتنفيذ (منع «الخسارة الصامتة»: تصميم مكلف يُباع رخيصاً).</w:t>
            </w:r>
          </w:p>
          <w:p>
            <w:pPr>
              <w:bidi/>
              <w:spacing w:after="50" w:line="268"/>
              <w:jc w:val="right"/>
            </w:pPr>
            <w:r>
              <w:rPr>
                <w:rFonts w:ascii="Arial" w:cs="Arial" w:eastAsia="Arial" w:hAnsi="Arial"/>
                <w:b w:val="false"/>
                <w:bCs w:val="false"/>
                <w:i w:val="false"/>
                <w:iCs w:val="false"/>
                <w:color w:val="7A1A14"/>
                <w:sz w:val="21"/>
                <w:szCs w:val="21"/>
                <w:rtl/>
              </w:rPr>
              <w:t xml:space="preserve">3) مستهدفات KPIs (دقة الكلفة، مطابقة التنفيذ للمخطط، رضا العميل).</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س4. قسم التصميم المعماري: مَن قائد الفريق، ونموذج التعويض، وهل يرتبط جزء من أجره بربحية المشاريع؟</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5) قسم الكميونيتي والتدريب — (قيد الإنشاء)</w:t>
      </w:r>
    </w:p>
    <w:p>
      <w:pPr>
        <w:bidi/>
        <w:spacing w:after="120" w:before="0" w:line="276"/>
        <w:jc w:val="right"/>
      </w:pPr>
      <w:r>
        <w:rPr>
          <w:rFonts w:ascii="Arial" w:cs="Arial" w:eastAsia="Arial" w:hAnsi="Arial"/>
          <w:b/>
          <w:bCs/>
          <w:i w:val="false"/>
          <w:iCs w:val="false"/>
          <w:sz w:val="22"/>
          <w:szCs w:val="22"/>
          <w:rtl/>
        </w:rPr>
        <w:t xml:space="preserve">نطاق العمل (مقترح): </w:t>
      </w:r>
      <w:r>
        <w:rPr>
          <w:rFonts w:ascii="Arial" w:cs="Arial" w:eastAsia="Arial" w:hAnsi="Arial"/>
          <w:b w:val="false"/>
          <w:bCs w:val="false"/>
          <w:i w:val="false"/>
          <w:iCs w:val="false"/>
          <w:sz w:val="22"/>
          <w:szCs w:val="22"/>
          <w:rtl/>
        </w:rPr>
        <w:t xml:space="preserve">عضويات، دورات تدريبية، استخدام أدوات بإشراف، فعاليات ومعارض، برامج تدريب.</w:t>
      </w:r>
    </w:p>
    <w:tbl>
      <w:tblPr>
        <w:bidiVisual/>
        <w:tblW w:type="dxa" w:w="9026"/>
        <w:tblBorders>
          <w:top w:val="single" w:color="C0392B" w:sz="14"/>
          <w:left w:val="single" w:color="C0392B" w:sz="14"/>
          <w:bottom w:val="single" w:color="C0392B" w:sz="14"/>
          <w:right w:val="single" w:color="C0392B" w:sz="14"/>
          <w:insideH w:val="single" w:color="auto" w:sz="4"/>
          <w:insideV w:val="single" w:color="auto" w:sz="4"/>
        </w:tblBorders>
      </w:tblPr>
      <w:tblGrid>
        <w:gridCol w:w="9026"/>
      </w:tblGrid>
      <w:tr>
        <w:tc>
          <w:tcPr>
            <w:tcW w:type="dxa" w:w="9026"/>
            <w:shd w:fill="FCE4E4"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A4231B"/>
                <w:sz w:val="22"/>
                <w:szCs w:val="22"/>
                <w:rtl/>
              </w:rPr>
              <w:t xml:space="preserve">■ هذا القسم غير مُنجَز بعد — المطلوب إنجازه:</w:t>
            </w:r>
          </w:p>
          <w:p>
            <w:pPr>
              <w:bidi/>
              <w:spacing w:after="50" w:line="268"/>
              <w:jc w:val="right"/>
            </w:pPr>
            <w:r>
              <w:rPr>
                <w:rFonts w:ascii="Arial" w:cs="Arial" w:eastAsia="Arial" w:hAnsi="Arial"/>
                <w:b/>
                <w:bCs/>
                <w:i w:val="false"/>
                <w:iCs w:val="false"/>
                <w:color w:val="7A1A14"/>
                <w:sz w:val="21"/>
                <w:szCs w:val="21"/>
                <w:rtl/>
              </w:rPr>
              <w:t xml:space="preserve">المتبقّي لإطلاق قسم الكميونيتي والتدريب:</w:t>
            </w:r>
          </w:p>
          <w:p>
            <w:pPr>
              <w:bidi/>
              <w:spacing w:after="50" w:line="268"/>
              <w:jc w:val="right"/>
            </w:pPr>
            <w:r>
              <w:rPr>
                <w:rFonts w:ascii="Arial" w:cs="Arial" w:eastAsia="Arial" w:hAnsi="Arial"/>
                <w:b w:val="false"/>
                <w:bCs w:val="false"/>
                <w:i w:val="false"/>
                <w:iCs w:val="false"/>
                <w:color w:val="7A1A14"/>
                <w:sz w:val="21"/>
                <w:szCs w:val="21"/>
                <w:rtl/>
              </w:rPr>
              <w:t xml:space="preserve">1) تحديد نموذج الإيراد (اشتراكات/رسوم دورات/تأجير وقت ماكينة بالساعة).</w:t>
            </w:r>
          </w:p>
          <w:p>
            <w:pPr>
              <w:bidi/>
              <w:spacing w:after="50" w:line="268"/>
              <w:jc w:val="right"/>
            </w:pPr>
            <w:r>
              <w:rPr>
                <w:rFonts w:ascii="Arial" w:cs="Arial" w:eastAsia="Arial" w:hAnsi="Arial"/>
                <w:b w:val="false"/>
                <w:bCs w:val="false"/>
                <w:i w:val="false"/>
                <w:iCs w:val="false"/>
                <w:color w:val="7A1A14"/>
                <w:sz w:val="21"/>
                <w:szCs w:val="21"/>
                <w:rtl/>
              </w:rPr>
              <w:t xml:space="preserve">2) تعيين مسؤول القسم وخطة الإطلاق.</w:t>
            </w:r>
          </w:p>
          <w:p>
            <w:pPr>
              <w:bidi/>
              <w:spacing w:after="50" w:line="268"/>
              <w:jc w:val="right"/>
            </w:pPr>
            <w:r>
              <w:rPr>
                <w:rFonts w:ascii="Arial" w:cs="Arial" w:eastAsia="Arial" w:hAnsi="Arial"/>
                <w:b w:val="false"/>
                <w:bCs w:val="false"/>
                <w:i w:val="false"/>
                <w:iCs w:val="false"/>
                <w:color w:val="7A1A14"/>
                <w:sz w:val="21"/>
                <w:szCs w:val="21"/>
                <w:rtl/>
              </w:rPr>
              <w:t xml:space="preserve">3) تصميم باقات العضوية والأسعار.</w:t>
            </w:r>
          </w:p>
          <w:p>
            <w:pPr>
              <w:bidi/>
              <w:spacing w:after="50" w:line="268"/>
              <w:jc w:val="right"/>
            </w:pPr>
            <w:r>
              <w:rPr>
                <w:rFonts w:ascii="Arial" w:cs="Arial" w:eastAsia="Arial" w:hAnsi="Arial"/>
                <w:b w:val="false"/>
                <w:bCs w:val="false"/>
                <w:i w:val="false"/>
                <w:iCs w:val="false"/>
                <w:color w:val="7A1A14"/>
                <w:sz w:val="21"/>
                <w:szCs w:val="21"/>
                <w:rtl/>
              </w:rPr>
              <w:t xml:space="preserve">4) مؤشرات الأداء (عدد المشتركين/الإيراد الشهري/رضا المتدربين).</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س5. قسم الكميونيتي والتدريب: ما نموذج الإيراد المعتمد ومَن المسؤول وما تاريخ الإطلاق المستهدف؟</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6) قسم AI TEAM — الذكاء الاصطناعي والنظام الرقمي — (قيد الإنشاء)</w:t>
      </w:r>
    </w:p>
    <w:p>
      <w:pPr>
        <w:bidi/>
        <w:spacing w:after="120" w:before="0" w:line="276"/>
        <w:jc w:val="right"/>
      </w:pPr>
      <w:r>
        <w:rPr>
          <w:rFonts w:ascii="Arial" w:cs="Arial" w:eastAsia="Arial" w:hAnsi="Arial"/>
          <w:b/>
          <w:bCs/>
          <w:i w:val="false"/>
          <w:iCs w:val="false"/>
          <w:sz w:val="22"/>
          <w:szCs w:val="22"/>
          <w:rtl/>
        </w:rPr>
        <w:t xml:space="preserve">نطاق العمل: </w:t>
      </w:r>
      <w:r>
        <w:rPr>
          <w:rFonts w:ascii="Arial" w:cs="Arial" w:eastAsia="Arial" w:hAnsi="Arial"/>
          <w:b w:val="false"/>
          <w:bCs w:val="false"/>
          <w:i w:val="false"/>
          <w:iCs w:val="false"/>
          <w:sz w:val="22"/>
          <w:szCs w:val="22"/>
          <w:rtl/>
        </w:rPr>
        <w:t xml:space="preserve">بناء وتشغيل النظام الرقمي (Octagon ERP)، أتمتة العمل، التايم شيت والرواتب الآلية، المالية والمحاسبة، نقطة البيع والمخزون، التحليلات والتقارير، ومساعد الذكاء الاصطناعي. يدعم كل الأقسام أفقياً، ويُمكن أن يقدّم خدمات رقمية للخارج مستقبلاً (توسّع أفقي).</w:t>
      </w:r>
    </w:p>
    <w:tbl>
      <w:tblPr>
        <w:bidiVisual/>
        <w:tblW w:type="dxa" w:w="9026"/>
        <w:tblBorders>
          <w:top w:val="single" w:color="C0392B" w:sz="14"/>
          <w:left w:val="single" w:color="C0392B" w:sz="14"/>
          <w:bottom w:val="single" w:color="C0392B" w:sz="14"/>
          <w:right w:val="single" w:color="C0392B" w:sz="14"/>
          <w:insideH w:val="single" w:color="auto" w:sz="4"/>
          <w:insideV w:val="single" w:color="auto" w:sz="4"/>
        </w:tblBorders>
      </w:tblPr>
      <w:tblGrid>
        <w:gridCol w:w="9026"/>
      </w:tblGrid>
      <w:tr>
        <w:tc>
          <w:tcPr>
            <w:tcW w:type="dxa" w:w="9026"/>
            <w:shd w:fill="FCE4E4"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A4231B"/>
                <w:sz w:val="22"/>
                <w:szCs w:val="22"/>
                <w:rtl/>
              </w:rPr>
              <w:t xml:space="preserve">■ هذا القسم غير مُنجَز بعد — المطلوب إنجازه:</w:t>
            </w:r>
          </w:p>
          <w:p>
            <w:pPr>
              <w:bidi/>
              <w:spacing w:after="50" w:line="268"/>
              <w:jc w:val="right"/>
            </w:pPr>
            <w:r>
              <w:rPr>
                <w:rFonts w:ascii="Arial" w:cs="Arial" w:eastAsia="Arial" w:hAnsi="Arial"/>
                <w:b/>
                <w:bCs/>
                <w:i w:val="false"/>
                <w:iCs w:val="false"/>
                <w:color w:val="7A1A14"/>
                <w:sz w:val="21"/>
                <w:szCs w:val="21"/>
                <w:rtl/>
              </w:rPr>
              <w:t xml:space="preserve">المتبقّي لإكمال قسم AI TEAM:</w:t>
            </w:r>
          </w:p>
          <w:p>
            <w:pPr>
              <w:bidi/>
              <w:spacing w:after="50" w:line="268"/>
              <w:jc w:val="right"/>
            </w:pPr>
            <w:r>
              <w:rPr>
                <w:rFonts w:ascii="Arial" w:cs="Arial" w:eastAsia="Arial" w:hAnsi="Arial"/>
                <w:b w:val="false"/>
                <w:bCs w:val="false"/>
                <w:i w:val="false"/>
                <w:iCs w:val="false"/>
                <w:color w:val="7A1A14"/>
                <w:sz w:val="21"/>
                <w:szCs w:val="21"/>
                <w:rtl/>
              </w:rPr>
              <w:t xml:space="preserve">1) تثبيت كادر القسم (تطوير/بيانات/دعم) أو الاعتماد على متعاونين.</w:t>
            </w:r>
          </w:p>
          <w:p>
            <w:pPr>
              <w:bidi/>
              <w:spacing w:after="50" w:line="268"/>
              <w:jc w:val="right"/>
            </w:pPr>
            <w:r>
              <w:rPr>
                <w:rFonts w:ascii="Arial" w:cs="Arial" w:eastAsia="Arial" w:hAnsi="Arial"/>
                <w:b w:val="false"/>
                <w:bCs w:val="false"/>
                <w:i w:val="false"/>
                <w:iCs w:val="false"/>
                <w:color w:val="7A1A14"/>
                <w:sz w:val="21"/>
                <w:szCs w:val="21"/>
                <w:rtl/>
              </w:rPr>
              <w:t xml:space="preserve">2) خارطة طريق وحدات النظام (انظر الفصل 12).</w:t>
            </w:r>
          </w:p>
          <w:p>
            <w:pPr>
              <w:bidi/>
              <w:spacing w:after="50" w:line="268"/>
              <w:jc w:val="right"/>
            </w:pPr>
            <w:r>
              <w:rPr>
                <w:rFonts w:ascii="Arial" w:cs="Arial" w:eastAsia="Arial" w:hAnsi="Arial"/>
                <w:b w:val="false"/>
                <w:bCs w:val="false"/>
                <w:i w:val="false"/>
                <w:iCs w:val="false"/>
                <w:color w:val="7A1A14"/>
                <w:sz w:val="21"/>
                <w:szCs w:val="21"/>
                <w:rtl/>
              </w:rPr>
              <w:t xml:space="preserve">3) سياسة النسخ الاحتياطي وحماية البيانات والصلاحيات.</w:t>
            </w:r>
          </w:p>
          <w:p>
            <w:pPr>
              <w:bidi/>
              <w:spacing w:after="50" w:line="268"/>
              <w:jc w:val="right"/>
            </w:pPr>
            <w:r>
              <w:rPr>
                <w:rFonts w:ascii="Arial" w:cs="Arial" w:eastAsia="Arial" w:hAnsi="Arial"/>
                <w:b w:val="false"/>
                <w:bCs w:val="false"/>
                <w:i w:val="false"/>
                <w:iCs w:val="false"/>
                <w:color w:val="7A1A14"/>
                <w:sz w:val="21"/>
                <w:szCs w:val="21"/>
                <w:rtl/>
              </w:rPr>
              <w:t xml:space="preserve">4) مؤشرات الأداء (زمن التشغيل/الأخطاء/نسبة الأتمتة).</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س6. قسم AI TEAM: مَن مسؤوله، وهل يُعامَل كمركز كلفة داخلي أم مركز ربح (يبيع خدمات رقمية)؟</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3"/>
        <w:bidi/>
        <w:spacing w:after="100" w:before="140"/>
        <w:jc w:val="right"/>
      </w:pPr>
      <w:r>
        <w:rPr>
          <w:rFonts w:ascii="Arial" w:cs="Arial" w:eastAsia="Arial" w:hAnsi="Arial"/>
          <w:b/>
          <w:bCs/>
          <w:i w:val="false"/>
          <w:iCs w:val="false"/>
          <w:sz w:val="23"/>
          <w:szCs w:val="23"/>
          <w:rtl/>
        </w:rPr>
        <w:t xml:space="preserve">7) و 8) أقسام التوسّع المستقبلي — (فكرة)</w:t>
      </w:r>
    </w:p>
    <w:p>
      <w:pPr>
        <w:bidi/>
        <w:spacing w:after="120" w:before="0" w:line="276"/>
        <w:jc w:val="right"/>
      </w:pPr>
      <w:r>
        <w:rPr>
          <w:rFonts w:ascii="Arial" w:cs="Arial" w:eastAsia="Arial" w:hAnsi="Arial"/>
          <w:b w:val="false"/>
          <w:bCs w:val="false"/>
          <w:i w:val="false"/>
          <w:iCs w:val="false"/>
          <w:sz w:val="22"/>
          <w:szCs w:val="22"/>
          <w:rtl/>
        </w:rPr>
        <w:t xml:space="preserve">مخصّصة للتوسّع الأفقي (خدمات رقمية، فروع، مشاريع كبرى/منتجع، أو أي نشاط جديد).</w:t>
      </w:r>
    </w:p>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س7. القسمان 7 و8: ما اسم كل قسم مقترح، وحالته (فكرة/قيد الإنشاء)، ونموذج تشغيله (داخلي/شراكة)؟</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1"/>
        <w:pageBreakBefore/>
        <w:bidi/>
        <w:spacing w:after="160" w:before="240"/>
        <w:jc w:val="right"/>
      </w:pPr>
      <w:r>
        <w:rPr>
          <w:rFonts w:ascii="Arial" w:cs="Arial" w:eastAsia="Arial" w:hAnsi="Arial"/>
          <w:b/>
          <w:bCs/>
          <w:i w:val="false"/>
          <w:iCs w:val="false"/>
          <w:sz w:val="30"/>
          <w:szCs w:val="30"/>
          <w:rtl/>
        </w:rPr>
        <w:t xml:space="preserve">الفصل الرابع: إدارة العملاء والمشاريع (End-to-End)</w:t>
      </w:r>
    </w:p>
    <w:p>
      <w:pPr>
        <w:pStyle w:val="Heading2"/>
        <w:bidi/>
        <w:spacing w:after="120" w:before="200"/>
        <w:jc w:val="right"/>
      </w:pPr>
      <w:r>
        <w:rPr>
          <w:rFonts w:ascii="Arial" w:cs="Arial" w:eastAsia="Arial" w:hAnsi="Arial"/>
          <w:b/>
          <w:bCs/>
          <w:i w:val="false"/>
          <w:iCs w:val="false"/>
          <w:sz w:val="26"/>
          <w:szCs w:val="26"/>
          <w:rtl/>
        </w:rPr>
        <w:t xml:space="preserve">المادة (16): مسار العميل من الاستفسار إلى الإغلاق</w:t>
      </w:r>
    </w:p>
    <w:p>
      <w:pPr>
        <w:bidi/>
        <w:spacing w:after="120" w:before="0" w:line="276"/>
        <w:jc w:val="right"/>
      </w:pPr>
      <w:r>
        <w:rPr>
          <w:rFonts w:ascii="Arial" w:cs="Arial" w:eastAsia="Arial" w:hAnsi="Arial"/>
          <w:b w:val="false"/>
          <w:bCs w:val="false"/>
          <w:i w:val="false"/>
          <w:iCs w:val="false"/>
          <w:sz w:val="22"/>
          <w:szCs w:val="22"/>
          <w:rtl/>
        </w:rPr>
        <w:t xml:space="preserve">يُعتمد مسار موحّد مُسجَّل في النظام الرقمي: (1) الاستفسار وتسجيل بيانات العميل، (2) جمع المتطلبات وتحديد الخط/الخطوط، (3) معاينة/قياسات عند اللزوم، (4) عرض السعر (النطاق، المواد، المدة، الدفعات، الاستثناءات، الضمان)، (5) اعتماد داخلي (تدقيق فني + مالي)، (6) أمر تشغيل، (7) تنفيذ ومتابعة، (8) فحص جودة قبل التسليم (نقطة إيقاف إلزامية)، (9) تسليم وإغلاق مالي وأرشفة.</w:t>
      </w:r>
    </w:p>
    <w:p>
      <w:pPr>
        <w:pStyle w:val="Heading2"/>
        <w:bidi/>
        <w:spacing w:after="120" w:before="200"/>
        <w:jc w:val="right"/>
      </w:pPr>
      <w:r>
        <w:rPr>
          <w:rFonts w:ascii="Arial" w:cs="Arial" w:eastAsia="Arial" w:hAnsi="Arial"/>
          <w:b/>
          <w:bCs/>
          <w:i w:val="false"/>
          <w:iCs w:val="false"/>
          <w:sz w:val="26"/>
          <w:szCs w:val="26"/>
          <w:rtl/>
        </w:rPr>
        <w:t xml:space="preserve">المادة (17): التعاقد وعروض الأسعار والدفعات وإدارة التغيير</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لا يبدأ التنفيذ إلا بعد عربون/دفعة أولى أو اعتماد خطي في المشاريع الخاصة.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التسعير معياري إلزامي: مادة + وقت تشغيل + هدر + هامش ربح؛ ويُمنع البيع بأقل من الكلفة أو منح خصومات دون اعتماد مالي.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أي تعديل بعد الاعتماد يُدار عبر «أمر تغيير» يوضّح أثره على السعر والوقت ويُعتمد من العميل والإدارة قبل التنفيذ.</w:t>
      </w:r>
    </w:p>
    <w:p>
      <w:pPr>
        <w:pStyle w:val="Heading2"/>
        <w:bidi/>
        <w:spacing w:after="120" w:before="200"/>
        <w:jc w:val="right"/>
      </w:pPr>
      <w:r>
        <w:rPr>
          <w:rFonts w:ascii="Arial" w:cs="Arial" w:eastAsia="Arial" w:hAnsi="Arial"/>
          <w:b/>
          <w:bCs/>
          <w:i w:val="false"/>
          <w:iCs w:val="false"/>
          <w:sz w:val="26"/>
          <w:szCs w:val="26"/>
          <w:rtl/>
        </w:rPr>
        <w:t xml:space="preserve">المادة (18): التسليم والضمان ومعالجة الشكاوى</w:t>
      </w:r>
    </w:p>
    <w:p>
      <w:pPr>
        <w:bidi/>
        <w:spacing w:after="120" w:before="0" w:line="276"/>
        <w:jc w:val="right"/>
      </w:pPr>
      <w:r>
        <w:rPr>
          <w:rFonts w:ascii="Arial" w:cs="Arial" w:eastAsia="Arial" w:hAnsi="Arial"/>
          <w:b w:val="false"/>
          <w:bCs w:val="false"/>
          <w:i w:val="false"/>
          <w:iCs w:val="false"/>
          <w:sz w:val="22"/>
          <w:szCs w:val="22"/>
          <w:rtl/>
        </w:rPr>
        <w:t xml:space="preserve">التسليم بمحضر استلام موقّع؛ الضمان بحسب نوع المنتج/المشروع كما في عرض السعر؛ الشكاوى عبر قناة رسمية وتُصنَّف (عيب تصنيع/سوء استخدام/تغيّر ظروف موقع/تلف نقل) ويُردّ عليها ضمن مدة معيارية (مثلاً 48–72 ساعة).</w:t>
      </w:r>
    </w:p>
    <w:p>
      <w:pPr>
        <w:pStyle w:val="Heading1"/>
        <w:pageBreakBefore/>
        <w:bidi/>
        <w:spacing w:after="160" w:before="240"/>
        <w:jc w:val="right"/>
      </w:pPr>
      <w:r>
        <w:rPr>
          <w:rFonts w:ascii="Arial" w:cs="Arial" w:eastAsia="Arial" w:hAnsi="Arial"/>
          <w:b/>
          <w:bCs/>
          <w:i w:val="false"/>
          <w:iCs w:val="false"/>
          <w:sz w:val="30"/>
          <w:szCs w:val="30"/>
          <w:rtl/>
        </w:rPr>
        <w:t xml:space="preserve">الفصل الخامس: الدوام والحضور والإجازات والمناوبات</w:t>
      </w:r>
    </w:p>
    <w:p>
      <w:pPr>
        <w:pStyle w:val="Heading2"/>
        <w:bidi/>
        <w:spacing w:after="120" w:before="200"/>
        <w:jc w:val="right"/>
      </w:pPr>
      <w:r>
        <w:rPr>
          <w:rFonts w:ascii="Arial" w:cs="Arial" w:eastAsia="Arial" w:hAnsi="Arial"/>
          <w:b/>
          <w:bCs/>
          <w:i w:val="false"/>
          <w:iCs w:val="false"/>
          <w:sz w:val="26"/>
          <w:szCs w:val="26"/>
          <w:rtl/>
        </w:rPr>
        <w:t xml:space="preserve">المادة (19): ساعات العمل والاستراحة</w:t>
      </w:r>
    </w:p>
    <w:p>
      <w:pPr>
        <w:bidi/>
        <w:spacing w:after="120" w:before="0" w:line="276"/>
        <w:jc w:val="right"/>
      </w:pPr>
      <w:r>
        <w:rPr>
          <w:rFonts w:ascii="Arial" w:cs="Arial" w:eastAsia="Arial" w:hAnsi="Arial"/>
          <w:b w:val="false"/>
          <w:bCs w:val="false"/>
          <w:i w:val="false"/>
          <w:iCs w:val="false"/>
          <w:sz w:val="22"/>
          <w:szCs w:val="22"/>
          <w:rtl/>
        </w:rPr>
        <w:t xml:space="preserve">الدوام القياسي من 9:00 صباحاً إلى 6:00 مساءً (9 ساعات تواجد تتضمّن ساعة استراحة مدفوعة)، ستة أيام أسبوعياً ويوم راحة (الجمعة غالباً، ويجوز الاتفاق على يوم آخر حسب القسم). ويجوز اعتماد نظام شفتات/مناوبات لخطٍّ معيّن أو لفئة العاملين بالساعة، على أن يُعلَن جدول المناوبات مسبقاً ويُعتمد من مدير العمليات والموارد البشرية.</w:t>
      </w:r>
    </w:p>
    <w:p>
      <w:pPr>
        <w:pStyle w:val="Heading2"/>
        <w:bidi/>
        <w:spacing w:after="120" w:before="200"/>
        <w:jc w:val="right"/>
      </w:pPr>
      <w:r>
        <w:rPr>
          <w:rFonts w:ascii="Arial" w:cs="Arial" w:eastAsia="Arial" w:hAnsi="Arial"/>
          <w:b/>
          <w:bCs/>
          <w:i w:val="false"/>
          <w:iCs w:val="false"/>
          <w:sz w:val="26"/>
          <w:szCs w:val="26"/>
          <w:rtl/>
        </w:rPr>
        <w:t xml:space="preserve">المادة (20): نظام المناوبات (صباحي/عصري) — مستحدث</w:t>
      </w:r>
    </w:p>
    <w:p>
      <w:pPr>
        <w:bidi/>
        <w:spacing w:after="120" w:before="0" w:line="276"/>
        <w:jc w:val="right"/>
      </w:pPr>
      <w:r>
        <w:rPr>
          <w:rFonts w:ascii="Arial" w:cs="Arial" w:eastAsia="Arial" w:hAnsi="Arial"/>
          <w:b w:val="false"/>
          <w:bCs w:val="false"/>
          <w:i w:val="false"/>
          <w:iCs w:val="false"/>
          <w:sz w:val="22"/>
          <w:szCs w:val="22"/>
          <w:rtl/>
        </w:rPr>
        <w:t xml:space="preserve">للأعمال التي تتطلّب مرونة (ومنها العاملون بالساعة)، يجوز تكليف العامل بمناوبة صباحية أو عصرية متغيّرة وفق جدول معتمد. وتُحتسب ساعات الحضور الفعلية وفق حالة الدوام المناسبة في النظام الرقمي (غالباً «معفى بالساعات» للعامل بالساعة: أجر بالساعات الفعلية، بلا غرامات، والإضافي حسب الاتفاق). ويُراعى عدم تكليف العامل بمناوبتين متتاليتين تُخلّان بسلامته.</w:t>
      </w:r>
    </w:p>
    <w:p>
      <w:pPr>
        <w:pStyle w:val="Heading2"/>
        <w:bidi/>
        <w:spacing w:after="120" w:before="200"/>
        <w:jc w:val="right"/>
      </w:pPr>
      <w:r>
        <w:rPr>
          <w:rFonts w:ascii="Arial" w:cs="Arial" w:eastAsia="Arial" w:hAnsi="Arial"/>
          <w:b/>
          <w:bCs/>
          <w:i w:val="false"/>
          <w:iCs w:val="false"/>
          <w:sz w:val="26"/>
          <w:szCs w:val="26"/>
          <w:rtl/>
        </w:rPr>
        <w:t xml:space="preserve">المادة (21): الحضور والانصراف (البصمة/النظام الرقمي)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يُعتمد جهاز البصمة المرتبط بالنظام الرقمي مرجعاً رسمياً؛ بصمة دخول بين 8:45–9:00، وخروج بين 5:50–6:00 (أو وفق المناوبة المعتمدة).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يُمنع التسجيل بالنيابة عن الغير ويُعدّ مخالفة جسيمة.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عند عطل الجهاز يُعتمد سجل يدوي بإشراف مسؤول معتمد ويُرحَّل إلكترونياً.</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أي تعديل على سجلات الحضور يتم بإذن مكتوب من مدير العمليات والموارد البشرية وبصلاحية موثّقة في النظام.</w:t>
      </w:r>
    </w:p>
    <w:p>
      <w:pPr>
        <w:pStyle w:val="Heading2"/>
        <w:bidi/>
        <w:spacing w:after="120" w:before="200"/>
        <w:jc w:val="right"/>
      </w:pPr>
      <w:r>
        <w:rPr>
          <w:rFonts w:ascii="Arial" w:cs="Arial" w:eastAsia="Arial" w:hAnsi="Arial"/>
          <w:b/>
          <w:bCs/>
          <w:i w:val="false"/>
          <w:iCs w:val="false"/>
          <w:sz w:val="26"/>
          <w:szCs w:val="26"/>
          <w:rtl/>
        </w:rPr>
        <w:t xml:space="preserve">المادة (22): التأخير والمغادرة المبكرة والغياب وسماحية التأخير</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يُحتسب التأخير من الساعة 9:00 صباحاً بالدقائق، ويُطبَّق عليه خصم بمعدّل ضعف قيمة الساعة (×2) وفق سياسة الرواتب.</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تُعتمد سماحية تأخير شهرية تُعفى من الخصم؛ ويُحدَّد مقدارها في النظام الرقمي (القيمة المعتمدة حالياً في الاحتساب الآلي: 10 دقائق على إجمالي التأخير الشهري). ملاحظة: يلزم توحيد هذا المقدار مع سياسة البصمة السابقة (30 دقيقة) باعتماد الإدارة.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المغادرة المبكرة قبل 6:00 مساءً تُعامَل كخصم وقت (×2) ما لم تكن بعذر مقبول (حالة «مغادر مبكر معذور») أو بمهمة رسمية موثّقة.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الغياب بدون إذن مخالفة تستوجب خصم يومية كاملة وعقوبة، وقد يُفقِد حافز يوم الراحة لذلك الأسبوع.</w:t>
      </w:r>
    </w:p>
    <w:p>
      <w:pPr>
        <w:pStyle w:val="Heading2"/>
        <w:bidi/>
        <w:spacing w:after="120" w:before="200"/>
        <w:jc w:val="right"/>
      </w:pPr>
      <w:r>
        <w:rPr>
          <w:rFonts w:ascii="Arial" w:cs="Arial" w:eastAsia="Arial" w:hAnsi="Arial"/>
          <w:b/>
          <w:bCs/>
          <w:i w:val="false"/>
          <w:iCs w:val="false"/>
          <w:sz w:val="26"/>
          <w:szCs w:val="26"/>
          <w:rtl/>
        </w:rPr>
        <w:t xml:space="preserve">المادة (23): العمل الإضافي والعمل في يوم الراحة — أجر مجزٍ وفرصة دخل</w:t>
      </w:r>
    </w:p>
    <w:p>
      <w:pPr>
        <w:bidi/>
        <w:spacing w:after="120" w:before="0" w:line="276"/>
        <w:jc w:val="right"/>
      </w:pPr>
      <w:r>
        <w:rPr>
          <w:rFonts w:ascii="Arial" w:cs="Arial" w:eastAsia="Arial" w:hAnsi="Arial"/>
          <w:b w:val="false"/>
          <w:bCs w:val="false"/>
          <w:i w:val="false"/>
          <w:iCs w:val="false"/>
          <w:sz w:val="22"/>
          <w:szCs w:val="22"/>
          <w:rtl/>
        </w:rPr>
        <w:t xml:space="preserve">تؤمن الورشة بأن الجهد الإضافي يستحقّ تقديراً مجزياً، وتفتح للعاملين فرصة دخل إضافي منظَّمة ومضمونة الدفع:</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يُحتسب الإضافي بموافقة مسبقة وتوثيق ساعات التنفيذ، ويظهر بنداً واضحاً ومستقلاً ومجزياً في كشف الراتب.</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يُستثنى من ضِعف أجر يوم الراحة من تغيّب أو أخذ إجازة خلال ذلك الأسبوع (إلا بموافقة الإدارة).</w:t>
      </w:r>
    </w:p>
    <w:p>
      <w:pPr>
        <w:pStyle w:val="Heading2"/>
        <w:bidi/>
        <w:spacing w:after="120" w:before="200"/>
        <w:jc w:val="right"/>
      </w:pPr>
      <w:r>
        <w:rPr>
          <w:rFonts w:ascii="Arial" w:cs="Arial" w:eastAsia="Arial" w:hAnsi="Arial"/>
          <w:b/>
          <w:bCs/>
          <w:i w:val="false"/>
          <w:iCs w:val="false"/>
          <w:sz w:val="26"/>
          <w:szCs w:val="26"/>
          <w:rtl/>
        </w:rPr>
        <w:t xml:space="preserve">المادة (24): الإجازات</w:t>
      </w:r>
    </w:p>
    <w:p>
      <w:pPr>
        <w:bidi/>
        <w:spacing w:after="120" w:before="0" w:line="276"/>
        <w:jc w:val="right"/>
      </w:pPr>
      <w:r>
        <w:rPr>
          <w:rFonts w:ascii="Arial" w:cs="Arial" w:eastAsia="Arial" w:hAnsi="Arial"/>
          <w:b w:val="false"/>
          <w:bCs w:val="false"/>
          <w:i w:val="false"/>
          <w:iCs w:val="false"/>
          <w:sz w:val="22"/>
          <w:szCs w:val="22"/>
          <w:rtl/>
        </w:rPr>
        <w:t xml:space="preserve">الإجازة السنوية وفق القانون والعقد (مرجعياً 21 يوماً بعد سنة خدمة كاملة)؛ والإجازات الطارئة/المرضية/الخاصة بطلب رسمي وإثبات حيثما لزم. جميع الإجازات غير مدفوعة عدا السنوية، وأي إجازة غير معتمدة تُعدّ غياباً غير مبرر. ويُعدّ يوم الراحة الأسبوعي مدفوعاً كاستحقاق مقابل إكمال ستة أيام عمل فعلية.</w:t>
      </w:r>
    </w:p>
    <w:p>
      <w:pPr>
        <w:pStyle w:val="Heading2"/>
        <w:bidi/>
        <w:spacing w:after="120" w:before="200"/>
        <w:jc w:val="right"/>
      </w:pPr>
      <w:r>
        <w:rPr>
          <w:rFonts w:ascii="Arial" w:cs="Arial" w:eastAsia="Arial" w:hAnsi="Arial"/>
          <w:b/>
          <w:bCs/>
          <w:i w:val="false"/>
          <w:iCs w:val="false"/>
          <w:sz w:val="26"/>
          <w:szCs w:val="26"/>
          <w:rtl/>
        </w:rPr>
        <w:t xml:space="preserve">المادة (25): المهام الخارجية والتسليمات والمشتريات</w:t>
      </w:r>
    </w:p>
    <w:p>
      <w:pPr>
        <w:bidi/>
        <w:spacing w:after="120" w:before="0" w:line="276"/>
        <w:jc w:val="right"/>
      </w:pPr>
      <w:r>
        <w:rPr>
          <w:rFonts w:ascii="Arial" w:cs="Arial" w:eastAsia="Arial" w:hAnsi="Arial"/>
          <w:b w:val="false"/>
          <w:bCs w:val="false"/>
          <w:i w:val="false"/>
          <w:iCs w:val="false"/>
          <w:sz w:val="22"/>
          <w:szCs w:val="22"/>
          <w:rtl/>
        </w:rPr>
        <w:t xml:space="preserve">يُمنع الخروج بمهمة خارجية دون توثيق رسمي (قصاصة/نموذج إلكتروني) يتضمّن: الفريق، الهدف، الموقع، وقت الخروج/العودة، العهدة المالية إن وُجدت، والأدوات المصاحبة. وتُسوّى العهدة خلال 48 ساعة بفواتير وإرجاع المتبقي.</w:t>
      </w:r>
    </w:p>
    <w:p>
      <w:pPr>
        <w:pStyle w:val="Heading1"/>
        <w:pageBreakBefore/>
        <w:bidi/>
        <w:spacing w:after="160" w:before="240"/>
        <w:jc w:val="right"/>
      </w:pPr>
      <w:r>
        <w:rPr>
          <w:rFonts w:ascii="Arial" w:cs="Arial" w:eastAsia="Arial" w:hAnsi="Arial"/>
          <w:b/>
          <w:bCs/>
          <w:i w:val="false"/>
          <w:iCs w:val="false"/>
          <w:sz w:val="30"/>
          <w:szCs w:val="30"/>
          <w:rtl/>
        </w:rPr>
        <w:t xml:space="preserve">الفصل السادس: النظام المالي والرواتب وحالات الدوام</w:t>
      </w:r>
    </w:p>
    <w:p>
      <w:pPr>
        <w:pStyle w:val="Heading2"/>
        <w:bidi/>
        <w:spacing w:after="120" w:before="200"/>
        <w:jc w:val="right"/>
      </w:pPr>
      <w:r>
        <w:rPr>
          <w:rFonts w:ascii="Arial" w:cs="Arial" w:eastAsia="Arial" w:hAnsi="Arial"/>
          <w:b/>
          <w:bCs/>
          <w:i w:val="false"/>
          <w:iCs w:val="false"/>
          <w:sz w:val="26"/>
          <w:szCs w:val="26"/>
          <w:rtl/>
        </w:rPr>
        <w:t xml:space="preserve">المادة (26): المبادئ المالية والشفافية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لا صرف بدون سند (فاتورة/إيصال/أمر شراء) أو إذن صرف معتمد.</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فصل الصندوق عن المشتريات عن الاعتماد قدر الإمكان (Separation of Duties).</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توثيق التحصيلات بإيصالات رسمية وإدخالها في النظام الرقمي يومياً.</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إقفال مالي دوري (أسبوعي/شهري) مع تقارير دخل/مصروف/ديون/مخزون لكل قسم.</w:t>
      </w:r>
    </w:p>
    <w:p>
      <w:pPr>
        <w:pStyle w:val="Heading2"/>
        <w:bidi/>
        <w:spacing w:after="120" w:before="200"/>
        <w:jc w:val="right"/>
      </w:pPr>
      <w:r>
        <w:rPr>
          <w:rFonts w:ascii="Arial" w:cs="Arial" w:eastAsia="Arial" w:hAnsi="Arial"/>
          <w:b/>
          <w:bCs/>
          <w:i w:val="false"/>
          <w:iCs w:val="false"/>
          <w:sz w:val="26"/>
          <w:szCs w:val="26"/>
          <w:rtl/>
        </w:rPr>
        <w:t xml:space="preserve">المادة (27): مكوّنات الراتب وآلية الاحتساب</w:t>
      </w:r>
    </w:p>
    <w:p>
      <w:pPr>
        <w:bidi/>
        <w:spacing w:after="120" w:before="0" w:line="276"/>
        <w:jc w:val="right"/>
      </w:pPr>
      <w:r>
        <w:rPr>
          <w:rFonts w:ascii="Arial" w:cs="Arial" w:eastAsia="Arial" w:hAnsi="Arial"/>
          <w:b w:val="false"/>
          <w:bCs w:val="false"/>
          <w:i w:val="false"/>
          <w:iCs w:val="false"/>
          <w:sz w:val="22"/>
          <w:szCs w:val="22"/>
          <w:rtl/>
        </w:rPr>
        <w:t xml:space="preserve">يُحدَّد الراتب في العقد الفردي ويُحتسب شهرياً من: (أ) الراتب الأساسي مقابل ساعات الدوام النظامية، (ب) البدلات الثابتة (نقل/طعام)، (ج) أجر العمل الإضافي الموثّق، (د) المكافآت/الحوافز والنِّسب عند تحقّق شروطها، (هـ) الاستقطاعات وفق القانون وبسند واضح.</w:t>
      </w:r>
    </w:p>
    <w:p>
      <w:pPr>
        <w:bidi/>
        <w:spacing w:after="120" w:before="0" w:line="276"/>
        <w:jc w:val="right"/>
      </w:pPr>
      <w:r>
        <w:rPr>
          <w:rFonts w:ascii="Arial" w:cs="Arial" w:eastAsia="Arial" w:hAnsi="Arial"/>
          <w:b/>
          <w:bCs/>
          <w:i w:val="false"/>
          <w:iCs w:val="false"/>
          <w:sz w:val="22"/>
          <w:szCs w:val="22"/>
          <w:rtl/>
        </w:rPr>
        <w:t xml:space="preserve">آلية احتساب سعر الساعة: </w:t>
      </w:r>
      <w:r>
        <w:rPr>
          <w:rFonts w:ascii="Arial" w:cs="Arial" w:eastAsia="Arial" w:hAnsi="Arial"/>
          <w:b w:val="false"/>
          <w:bCs w:val="false"/>
          <w:i w:val="false"/>
          <w:iCs w:val="false"/>
          <w:sz w:val="22"/>
          <w:szCs w:val="22"/>
          <w:rtl/>
        </w:rPr>
        <w:t xml:space="preserve">الراتب الأساسي ÷ عدد أيام الشهر = قيمة اليوم؛ وقيمة اليوم ÷ 9 ساعات = سعر الساعة. ويُوزَّع بدل النقل والطعام على أيام العمل في الشهر، ويُمنح عن كل يوم حضور.</w:t>
      </w:r>
    </w:p>
    <w:p>
      <w:pPr>
        <w:pStyle w:val="Heading2"/>
        <w:bidi/>
        <w:spacing w:after="120" w:before="200"/>
        <w:jc w:val="right"/>
      </w:pPr>
      <w:r>
        <w:rPr>
          <w:rFonts w:ascii="Arial" w:cs="Arial" w:eastAsia="Arial" w:hAnsi="Arial"/>
          <w:b/>
          <w:bCs/>
          <w:i w:val="false"/>
          <w:iCs w:val="false"/>
          <w:sz w:val="26"/>
          <w:szCs w:val="26"/>
          <w:rtl/>
        </w:rPr>
        <w:t xml:space="preserve">المادة (28): حالات الدوام واحتساب الأجر (مستحدث — متوافق مع النظام الرقمي)</w:t>
      </w:r>
    </w:p>
    <w:p>
      <w:pPr>
        <w:bidi/>
        <w:spacing w:after="120" w:before="0" w:line="276"/>
        <w:jc w:val="right"/>
      </w:pPr>
      <w:r>
        <w:rPr>
          <w:rFonts w:ascii="Arial" w:cs="Arial" w:eastAsia="Arial" w:hAnsi="Arial"/>
          <w:b w:val="false"/>
          <w:bCs w:val="false"/>
          <w:i w:val="false"/>
          <w:iCs w:val="false"/>
          <w:sz w:val="22"/>
          <w:szCs w:val="22"/>
          <w:rtl/>
        </w:rPr>
        <w:t xml:space="preserve">يعتمد النظام الرقمي تصنيف كل يوم بـ«حالة دوام» تحدِّد الأجر والإضافي والغرامات. الجدول التالي ملخّص مُلزِم (التفصيل في الملحق ج):</w:t>
      </w:r>
    </w:p>
    <w:p>
      <w:pPr>
        <w:spacing w:after="40"/>
      </w:pP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3000"/>
        <w:gridCol w:w="3000"/>
        <w:gridCol w:w="3026"/>
      </w:tblGrid>
      <w:tr>
        <w:trPr>
          <w:tblHeader/>
        </w:trPr>
        <w:tc>
          <w:tcPr>
            <w:tcW w:type="dxa" w:w="3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الغرامات</w:t>
            </w:r>
          </w:p>
        </w:tc>
        <w:tc>
          <w:tcPr>
            <w:tcW w:type="dxa" w:w="3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احتساب الأجر والإضافي</w:t>
            </w:r>
          </w:p>
        </w:tc>
        <w:tc>
          <w:tcPr>
            <w:tcW w:type="dxa" w:w="30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حالة الدوام</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تأخير من 9ص (×2)، خروج مبكر قبل 6م (×2)</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6:00م بمعدّل ×1.5</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دوام عادي</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غرامة تأخير</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إتمام 9 ساعات حضور فعلي ×1.5</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متأخر معذور</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غرامة خروج مبكر</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يُحتسب التأخير والإضافي بشكل عادي</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مغادر مبكر معذور</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غرامات</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9 ساعات حضور فعلي ×1.5؛ ويحوِّل اليوم التالي تلقائياً إلى «معفى بالساعات»</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شفت ليلي</w:t>
            </w:r>
          </w:p>
        </w:tc>
      </w:tr>
      <w:tr>
        <w:tc>
          <w:tcPr>
            <w:tcW w:type="dxa" w:w="3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غرامات</w:t>
            </w:r>
          </w:p>
        </w:tc>
        <w:tc>
          <w:tcPr>
            <w:tcW w:type="dxa" w:w="3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الأجر = ساعات الحضور الفعلية × سعر الساعة + بدل كامل؛ بلا إضافي</w:t>
            </w:r>
          </w:p>
        </w:tc>
        <w:tc>
          <w:tcPr>
            <w:tcW w:type="dxa" w:w="3026"/>
            <w:shd w:fill="D5F5E3" w:color="auto" w:val="clear"/>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معفى بالساعات (جديد)</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 كل ساعات العمل ×2 (بلا بدل)؛ يُلغى الحافز إن وُجد غياب/إجازة في الأسبوع</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عمل يوم الراحة (جمعة)</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فقط بلا بدل (استحقاق مقابل 6 أيام عمل)</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عطلة مدفوعة (جمعة)</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غير مدفوعة عدا الإجازة السنوية</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إجازة</w:t>
            </w:r>
          </w:p>
        </w:tc>
      </w:tr>
      <w:tr>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خصم يومية اليوم + يومية تعويض انضباطي + فقدان يوم الراحة المدفوع (وفق الاتفاق الجماعي)</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غياب</w:t>
            </w:r>
          </w:p>
        </w:tc>
      </w:tr>
    </w:tbl>
    <w:p>
      <w:pPr>
        <w:bidi/>
        <w:spacing w:after="120" w:before="0" w:line="276"/>
        <w:jc w:val="right"/>
      </w:pPr>
      <w:r>
        <w:rPr>
          <w:rFonts w:ascii="Arial" w:cs="Arial" w:eastAsia="Arial" w:hAnsi="Arial"/>
          <w:b/>
          <w:bCs/>
          <w:i w:val="false"/>
          <w:iCs w:val="false"/>
          <w:sz w:val="22"/>
          <w:szCs w:val="22"/>
          <w:rtl/>
        </w:rPr>
        <w:t xml:space="preserve">حالة «معفى بالساعات»: </w:t>
      </w:r>
      <w:r>
        <w:rPr>
          <w:rFonts w:ascii="Arial" w:cs="Arial" w:eastAsia="Arial" w:hAnsi="Arial"/>
          <w:b w:val="false"/>
          <w:bCs w:val="false"/>
          <w:i w:val="false"/>
          <w:iCs w:val="false"/>
          <w:sz w:val="22"/>
          <w:szCs w:val="22"/>
          <w:rtl/>
        </w:rPr>
        <w:t xml:space="preserve">يوم معفى يُحتسب على ساعات الحضور الفعلية فقط (خروج − دخول) × سعر الساعة، مع بدل كامل، بلا أي إضافي وبلا غرامة تأخير أو خروج مبكر. وتُطبَّق تلقائياً على اليوم التالي للشفت الليلي، ويجوز ضبطها يدوياً عند الحاجة.</w:t>
      </w:r>
    </w:p>
    <w:p>
      <w:pPr>
        <w:pStyle w:val="Heading2"/>
        <w:bidi/>
        <w:spacing w:after="120" w:before="200"/>
        <w:jc w:val="right"/>
      </w:pPr>
      <w:r>
        <w:rPr>
          <w:rFonts w:ascii="Arial" w:cs="Arial" w:eastAsia="Arial" w:hAnsi="Arial"/>
          <w:b/>
          <w:bCs/>
          <w:i w:val="false"/>
          <w:iCs w:val="false"/>
          <w:sz w:val="26"/>
          <w:szCs w:val="26"/>
          <w:rtl/>
        </w:rPr>
        <w:t xml:space="preserve">المادة (29): الاستقطاعات والمستحقات وفق القانون</w:t>
      </w:r>
    </w:p>
    <w:p>
      <w:pPr>
        <w:bidi/>
        <w:spacing w:after="120" w:before="0" w:line="276"/>
        <w:jc w:val="right"/>
      </w:pPr>
      <w:r>
        <w:rPr>
          <w:rFonts w:ascii="Arial" w:cs="Arial" w:eastAsia="Arial" w:hAnsi="Arial"/>
          <w:b w:val="false"/>
          <w:bCs w:val="false"/>
          <w:i w:val="false"/>
          <w:iCs w:val="false"/>
          <w:sz w:val="22"/>
          <w:szCs w:val="22"/>
          <w:rtl/>
        </w:rPr>
        <w:t xml:space="preserve">أي استقطاع يجب أن يكون منصوصاً عليه وموثّقاً ومتناسباً وغير مخالف للقانون. وفي الأضرار/التلفيات يجري التحقيق أولاً لإثبات الإهمال أو التعمّد، ثم تقدير الضرر، ثم اعتماد طريقة السداد (خصم/تقسيط) بما لا يُخلّ بمعيشة الموظف. ويُزوَّد كل موظف بكشف راتب تفصيلي.</w:t>
      </w:r>
    </w:p>
    <w:p>
      <w:pPr>
        <w:pStyle w:val="Heading2"/>
        <w:bidi/>
        <w:spacing w:after="120" w:before="200"/>
        <w:jc w:val="right"/>
      </w:pPr>
      <w:r>
        <w:rPr>
          <w:rFonts w:ascii="Arial" w:cs="Arial" w:eastAsia="Arial" w:hAnsi="Arial"/>
          <w:b/>
          <w:bCs/>
          <w:i w:val="false"/>
          <w:iCs w:val="false"/>
          <w:sz w:val="26"/>
          <w:szCs w:val="26"/>
          <w:rtl/>
        </w:rPr>
        <w:t xml:space="preserve">المادة (29 مكرر): الأساس القانوني لاستقطاعات الانضباط الزمني (الاتفاق الجماعي)</w:t>
      </w:r>
    </w:p>
    <w:p>
      <w:pPr>
        <w:bidi/>
        <w:spacing w:after="120" w:before="0" w:line="276"/>
        <w:jc w:val="right"/>
      </w:pPr>
      <w:r>
        <w:rPr>
          <w:rFonts w:ascii="Arial" w:cs="Arial" w:eastAsia="Arial" w:hAnsi="Arial"/>
          <w:b w:val="false"/>
          <w:bCs w:val="false"/>
          <w:i w:val="false"/>
          <w:iCs w:val="false"/>
          <w:sz w:val="22"/>
          <w:szCs w:val="22"/>
          <w:rtl/>
        </w:rPr>
        <w:t xml:space="preserve">تمنح الورشة سماحية تأخير شهرية مريحة، ولا تُطبَّق أي استقطاعات إلا بعد تجاوزها، وهي استقطاعات يمكن تفاديها بالكامل بالالتزام والإشعار المسبق. ولمّا كانت الكلفة الفعلية لتأخّر العامل أو غيابه تفوق أجر وقته بأضعاف (إيجار، كهرباء، طاقم إشراف ومحاسبة، وتعطيل عمل بقية الفريق)، تعتمد الورشة — بالاتفاق المسبق مع العامل — استقطاعات انضباط زمني متّفقاً عليها (لا غرامات تعسّفية):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bidi/>
        <w:spacing w:after="120" w:before="0" w:line="276"/>
        <w:jc w:val="right"/>
      </w:pPr>
      <w:r>
        <w:rPr>
          <w:rFonts w:ascii="Arial" w:cs="Arial" w:eastAsia="Arial" w:hAnsi="Arial"/>
          <w:b w:val="false"/>
          <w:bCs w:val="false"/>
          <w:i/>
          <w:iCs/>
          <w:sz w:val="20"/>
          <w:szCs w:val="20"/>
          <w:rtl/>
        </w:rPr>
        <w:t xml:space="preserve">ملاحظة: تخضع هذه المادة لمراجعة قانونية محلية لتأكيد توافقها مع المادتين (139) و(57)؛ وفي حال عدم اعتماد اتفاق جماعي، يُقتصر على خصم الوقت غير المعمول فعلياً.</w:t>
      </w:r>
    </w:p>
    <w:p>
      <w:pPr>
        <w:pStyle w:val="Heading2"/>
        <w:bidi/>
        <w:spacing w:after="120" w:before="200"/>
        <w:jc w:val="right"/>
      </w:pPr>
      <w:r>
        <w:rPr>
          <w:rFonts w:ascii="Arial" w:cs="Arial" w:eastAsia="Arial" w:hAnsi="Arial"/>
          <w:b/>
          <w:bCs/>
          <w:i w:val="false"/>
          <w:iCs w:val="false"/>
          <w:sz w:val="26"/>
          <w:szCs w:val="26"/>
          <w:rtl/>
        </w:rPr>
        <w:t xml:space="preserve">المادة (30): السلف والعهد والمشتريات والمخزن</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السلف وفق سياسة مكتوبة بعد فترة تجربة ناجحة، بسقف محدّد (مرجعياً لا يتجاوز 30% من الأساسي) ونظام سداد واضح، ولا تُمنح سلفة جديدة قبل سداد السابقة.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العهد تُصرف لمهام/مشتريات وتُسوّى خلال 48 ساعة بفواتير وإرجاع المتبقي، ولا تُصرف عهدة جديدة لمن لم يُسوِّ السابقة.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الشراء عبر طلب شراء يوضّح المادة والكمية والاستخدام والكلفة والمورد، مع فحص الاستلام وتسجيل المخزن وجرد دوري وتقارير هدر.</w:t>
      </w:r>
    </w:p>
    <w:p>
      <w:pPr>
        <w:pStyle w:val="Heading1"/>
        <w:pageBreakBefore/>
        <w:bidi/>
        <w:spacing w:after="160" w:before="240"/>
        <w:jc w:val="right"/>
      </w:pPr>
      <w:r>
        <w:rPr>
          <w:rFonts w:ascii="Arial" w:cs="Arial" w:eastAsia="Arial" w:hAnsi="Arial"/>
          <w:b/>
          <w:bCs/>
          <w:i w:val="false"/>
          <w:iCs w:val="false"/>
          <w:sz w:val="30"/>
          <w:szCs w:val="30"/>
          <w:rtl/>
        </w:rPr>
        <w:t xml:space="preserve">الفصل السابع: أنواع التوظيف ونماذج الأجور والشراكات (مستحدث)</w:t>
      </w:r>
    </w:p>
    <w:p>
      <w:pPr>
        <w:pStyle w:val="Heading2"/>
        <w:bidi/>
        <w:spacing w:after="120" w:before="200"/>
        <w:jc w:val="right"/>
      </w:pPr>
      <w:r>
        <w:rPr>
          <w:rFonts w:ascii="Arial" w:cs="Arial" w:eastAsia="Arial" w:hAnsi="Arial"/>
          <w:b/>
          <w:bCs/>
          <w:i w:val="false"/>
          <w:iCs w:val="false"/>
          <w:sz w:val="26"/>
          <w:szCs w:val="26"/>
          <w:rtl/>
        </w:rPr>
        <w:t xml:space="preserve">المادة (31): أنواع التوظيف</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3400"/>
        <w:gridCol w:w="3026"/>
      </w:tblGrid>
      <w:tr>
        <w:trPr>
          <w:tblHeader/>
        </w:trPr>
        <w:tc>
          <w:tcPr>
            <w:tcW w:type="dxa" w:w="26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ملاحظات الإجازات/المستحقات</w:t>
            </w:r>
          </w:p>
        </w:tc>
        <w:tc>
          <w:tcPr>
            <w:tcW w:type="dxa" w:w="34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الوصف وآلية الأجر</w:t>
            </w:r>
          </w:p>
        </w:tc>
        <w:tc>
          <w:tcPr>
            <w:tcW w:type="dxa" w:w="30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النوع</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كامل الاستحقاقات والإجازات</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دوام 9–6، ستة أيام؛ راتب شهري + بدلات</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دوام كامل دائم</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بالتناسب أو بحسب العقد</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ساعات/أيام محددة أقل من الكامل؛ أجر بحسب العقد</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دوام جزئي</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غالباً بلا إجازات شهرية مدفوعة</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مناوبات متغيّرة (صباحي/عصري)؛ الأجر = ساعات الحضور الفعلية × سعر الساعة (نمط «معفى بالساعات»)، بلا غرامات، والإضافي حسب الاتفاق</w:t>
            </w:r>
          </w:p>
        </w:tc>
        <w:tc>
          <w:tcPr>
            <w:tcW w:type="dxa" w:w="3026"/>
            <w:shd w:fill="D6EAF8" w:color="auto" w:val="clear"/>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بالساعة بمناوبات (جديد)</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تُصرف على دفعات أو عند التسليم</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أجر مقطوع شامل لمشروع/مهمة محددة متّفق عليه مسبقاً</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بالمهمة / مقطوعة</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حسب الاتفاق</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فترة تدريب؛ أجر رمزي/حسب الاتفاق</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متدرّب</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بلا إجازات الموظف الدائم</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فني/متخصص مؤقت؛ أجر بالساعة أو بالمهمة</w:t>
            </w:r>
          </w:p>
        </w:tc>
        <w:tc>
          <w:tcPr>
            <w:tcW w:type="dxa" w:w="30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متعاون خارجي</w:t>
            </w:r>
          </w:p>
        </w:tc>
      </w:tr>
    </w:tbl>
    <w:p>
      <w:pPr>
        <w:pStyle w:val="Heading2"/>
        <w:bidi/>
        <w:spacing w:after="120" w:before="200"/>
        <w:jc w:val="right"/>
      </w:pPr>
      <w:r>
        <w:rPr>
          <w:rFonts w:ascii="Arial" w:cs="Arial" w:eastAsia="Arial" w:hAnsi="Arial"/>
          <w:b/>
          <w:bCs/>
          <w:i w:val="false"/>
          <w:iCs w:val="false"/>
          <w:sz w:val="26"/>
          <w:szCs w:val="26"/>
          <w:rtl/>
        </w:rPr>
        <w:t xml:space="preserve">المادة (32): نماذج الأجور والشراكات</w:t>
      </w:r>
    </w:p>
    <w:p>
      <w:pPr>
        <w:bidi/>
        <w:spacing w:after="120" w:before="0" w:line="276"/>
        <w:jc w:val="right"/>
      </w:pPr>
      <w:r>
        <w:rPr>
          <w:rFonts w:ascii="Arial" w:cs="Arial" w:eastAsia="Arial" w:hAnsi="Arial"/>
          <w:b w:val="false"/>
          <w:bCs w:val="false"/>
          <w:i w:val="false"/>
          <w:iCs w:val="false"/>
          <w:sz w:val="22"/>
          <w:szCs w:val="22"/>
          <w:rtl/>
        </w:rPr>
        <w:t xml:space="preserve">تعتمد الورشة نماذج تعويض متعددة بحسب طبيعة الدور والقسم، وتُحدَّد تفاصيلها (النِّسب، أساس الاحتساب، التوقيت) في العقد الفردي أو اتفاقية الشراكة:</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2300"/>
        <w:gridCol w:w="2600"/>
        <w:gridCol w:w="1900"/>
        <w:gridCol w:w="2226"/>
      </w:tblGrid>
      <w:tr>
        <w:trPr>
          <w:tblHeader/>
        </w:trPr>
        <w:tc>
          <w:tcPr>
            <w:tcW w:type="dxa" w:w="23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ضوابط الحوكمة</w:t>
            </w:r>
          </w:p>
        </w:tc>
        <w:tc>
          <w:tcPr>
            <w:tcW w:type="dxa" w:w="26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الآلية</w:t>
            </w:r>
          </w:p>
        </w:tc>
        <w:tc>
          <w:tcPr>
            <w:tcW w:type="dxa" w:w="19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لمن</w:t>
            </w:r>
          </w:p>
        </w:tc>
        <w:tc>
          <w:tcPr>
            <w:tcW w:type="dxa" w:w="22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النموذج</w:t>
            </w:r>
          </w:p>
        </w:tc>
      </w:tr>
      <w:tr>
        <w:tc>
          <w:tcPr>
            <w:tcW w:type="dxa" w:w="2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راتب شهري ثابت</w:t>
            </w:r>
          </w:p>
        </w:tc>
        <w:tc>
          <w:tcPr>
            <w:tcW w:type="dxa" w:w="19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موظف</w:t>
            </w:r>
          </w:p>
        </w:tc>
        <w:tc>
          <w:tcPr>
            <w:tcW w:type="dxa" w:w="22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راتب ثابت</w:t>
            </w:r>
          </w:p>
        </w:tc>
      </w:tr>
      <w:tr>
        <w:tc>
          <w:tcPr>
            <w:tcW w:type="dxa" w:w="2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النسبة وأساسها يُحدَّدان بالعقد؛ تُصرف بعد إقفال مالي معتمد</w:t>
            </w:r>
          </w:p>
        </w:tc>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راتب أساس + نسبة % من (مبيعات/أرباح/إنجاز القسم)</w:t>
            </w:r>
          </w:p>
        </w:tc>
        <w:tc>
          <w:tcPr>
            <w:tcW w:type="dxa" w:w="19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موظف بحافز</w:t>
            </w:r>
          </w:p>
        </w:tc>
        <w:tc>
          <w:tcPr>
            <w:tcW w:type="dxa" w:w="22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راتب + نسبة</w:t>
            </w:r>
          </w:p>
        </w:tc>
      </w:tr>
      <w:tr>
        <w:tc>
          <w:tcPr>
            <w:tcW w:type="dxa" w:w="2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يتطلّب تسعيراً معيارياً (Costing) معتمداً وفصل ذمم</w:t>
            </w:r>
          </w:p>
        </w:tc>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 من صافي ربح القسم بعد التكاليف</w:t>
            </w:r>
          </w:p>
        </w:tc>
        <w:tc>
          <w:tcPr>
            <w:tcW w:type="dxa" w:w="19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موظف/مسؤول قسم</w:t>
            </w:r>
          </w:p>
        </w:tc>
        <w:tc>
          <w:tcPr>
            <w:tcW w:type="dxa" w:w="22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نسبة أرباح</w:t>
            </w:r>
          </w:p>
        </w:tc>
      </w:tr>
      <w:tr>
        <w:tc>
          <w:tcPr>
            <w:tcW w:type="dxa" w:w="2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على المُحصَّل فعلياً لا المُباع؛ بعد خصم المرتجع</w:t>
            </w:r>
          </w:p>
        </w:tc>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 من المبيعات المحصّلة</w:t>
            </w:r>
          </w:p>
        </w:tc>
        <w:tc>
          <w:tcPr>
            <w:tcW w:type="dxa" w:w="19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تسويق/مبيعات</w:t>
            </w:r>
          </w:p>
        </w:tc>
        <w:tc>
          <w:tcPr>
            <w:tcW w:type="dxa" w:w="22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عمولة مبيعات</w:t>
            </w:r>
          </w:p>
        </w:tc>
      </w:tr>
      <w:tr>
        <w:tc>
          <w:tcPr>
            <w:tcW w:type="dxa" w:w="2300"/>
            <w:shd w:fill="FDEBD0"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اتفاقية شراكة منفصلة؛ أهلية شراكة؛ آلية دخول/خروج</w:t>
            </w:r>
          </w:p>
        </w:tc>
        <w:tc>
          <w:tcPr>
            <w:tcW w:type="dxa" w:w="2600"/>
            <w:shd w:fill="FDEBD0"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حصة ربح/خسارة % (± راتب) ورأس مال/أصول</w:t>
            </w:r>
          </w:p>
        </w:tc>
        <w:tc>
          <w:tcPr>
            <w:tcW w:type="dxa" w:w="1900"/>
            <w:shd w:fill="FDEBD0"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شريك</w:t>
            </w:r>
          </w:p>
        </w:tc>
        <w:tc>
          <w:tcPr>
            <w:tcW w:type="dxa" w:w="2226"/>
            <w:shd w:fill="FDEBD0" w:color="auto" w:val="clear"/>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شريك تشغيلي بالقسم</w:t>
            </w:r>
          </w:p>
        </w:tc>
      </w:tr>
    </w:tbl>
    <w:p>
      <w:pPr>
        <w:pStyle w:val="Heading2"/>
        <w:bidi/>
        <w:spacing w:after="120" w:before="200"/>
        <w:jc w:val="right"/>
      </w:pPr>
      <w:r>
        <w:rPr>
          <w:rFonts w:ascii="Arial" w:cs="Arial" w:eastAsia="Arial" w:hAnsi="Arial"/>
          <w:b/>
          <w:bCs/>
          <w:i w:val="false"/>
          <w:iCs w:val="false"/>
          <w:sz w:val="26"/>
          <w:szCs w:val="26"/>
          <w:rtl/>
        </w:rPr>
        <w:t xml:space="preserve">المادة (33): الفرق بين «موظف بنسبة» و«شريك تشغيلي»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default"/>
      </w:r>
    </w:p>
    <w:p>
      <w:pPr>
        <w:pStyle w:val="Heading2"/>
        <w:bidi/>
        <w:spacing w:after="120" w:before="200"/>
        <w:jc w:val="right"/>
      </w:pPr>
      <w:r>
        <w:rPr>
          <w:rFonts w:ascii="Arial" w:cs="Arial" w:eastAsia="Arial" w:hAnsi="Arial"/>
          <w:b/>
          <w:bCs/>
          <w:i w:val="false"/>
          <w:iCs w:val="false"/>
          <w:sz w:val="26"/>
          <w:szCs w:val="26"/>
          <w:rtl/>
        </w:rPr>
        <w:t xml:space="preserve">المادة (34): ضوابط حوكمة الشراكات والنِّسب (دروس مستفادة)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أهلية الشراكة لا تُمنح بالمهارة الفنية وحدها؛ بل تتطلّب توافق رؤية والتزاماً بالنظام والحوكمة.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التسعير المعياري شرط سابق لأي نسبة: لا تُحتسب نسبة على بيعٍ دون كلفة حقيقية محسوبة (منع «الخسارة الصامتة»).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فصل من يبيع عمّن يحصّل الأموال (اللقاح ضد «الجزر الداخلية»).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مراجعة مالية دورية إلزامية، وحدود صلاحيات مكتوبة، ومنع منح خصومات/سلف خارج السقوف.</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توثيق نسبة المشاركة والتكلفة المشتركة بين الأقسام في النظام الرقمي عند تداخل العمل.</w:t>
      </w:r>
    </w:p>
    <w:p>
      <w:pPr>
        <w:pStyle w:val="Heading1"/>
        <w:pageBreakBefore/>
        <w:bidi/>
        <w:spacing w:after="160" w:before="240"/>
        <w:jc w:val="right"/>
      </w:pPr>
      <w:r>
        <w:rPr>
          <w:rFonts w:ascii="Arial" w:cs="Arial" w:eastAsia="Arial" w:hAnsi="Arial"/>
          <w:b/>
          <w:bCs/>
          <w:i w:val="false"/>
          <w:iCs w:val="false"/>
          <w:sz w:val="30"/>
          <w:szCs w:val="30"/>
          <w:rtl/>
        </w:rPr>
        <w:t xml:space="preserve">الفصل الثامن: السلوك المهني والسلامة والسرية</w:t>
      </w:r>
    </w:p>
    <w:p>
      <w:pPr>
        <w:pStyle w:val="Heading2"/>
        <w:bidi/>
        <w:spacing w:after="120" w:before="200"/>
        <w:jc w:val="right"/>
      </w:pPr>
      <w:r>
        <w:rPr>
          <w:rFonts w:ascii="Arial" w:cs="Arial" w:eastAsia="Arial" w:hAnsi="Arial"/>
          <w:b/>
          <w:bCs/>
          <w:i w:val="false"/>
          <w:iCs w:val="false"/>
          <w:sz w:val="26"/>
          <w:szCs w:val="26"/>
          <w:rtl/>
        </w:rPr>
        <w:t xml:space="preserve">المادة (35): مدوّنة السلوك</w:t>
      </w:r>
    </w:p>
    <w:p>
      <w:pPr>
        <w:bidi/>
        <w:spacing w:after="120" w:before="0" w:line="276"/>
        <w:jc w:val="right"/>
      </w:pPr>
      <w:r>
        <w:rPr>
          <w:rFonts w:ascii="Arial" w:cs="Arial" w:eastAsia="Arial" w:hAnsi="Arial"/>
          <w:b w:val="false"/>
          <w:bCs w:val="false"/>
          <w:i w:val="false"/>
          <w:iCs w:val="false"/>
          <w:sz w:val="22"/>
          <w:szCs w:val="22"/>
          <w:rtl/>
        </w:rPr>
        <w:t xml:space="preserve">الالتزام بسلوك مهني محترم: احترام الزملاء والعملاء، عدم الإساءة أو التهديد، الالتزام بالتعليمات، المحافظة على ممتلكات الورشة، ضبط استخدام الهاتف، ومنع التصوير داخل الورشة/المواقع دون إذن مكتوب.</w:t>
      </w:r>
    </w:p>
    <w:p>
      <w:pPr>
        <w:pStyle w:val="Heading2"/>
        <w:bidi/>
        <w:spacing w:after="120" w:before="200"/>
        <w:jc w:val="right"/>
      </w:pPr>
      <w:r>
        <w:rPr>
          <w:rFonts w:ascii="Arial" w:cs="Arial" w:eastAsia="Arial" w:hAnsi="Arial"/>
          <w:b/>
          <w:bCs/>
          <w:i w:val="false"/>
          <w:iCs w:val="false"/>
          <w:sz w:val="26"/>
          <w:szCs w:val="26"/>
          <w:rtl/>
        </w:rPr>
        <w:t xml:space="preserve">المادة (36): منع التحرش والعنف والتمييز (صفر تسامح)</w:t>
      </w:r>
    </w:p>
    <w:p>
      <w:pPr>
        <w:bidi/>
        <w:spacing w:after="120" w:before="0" w:line="276"/>
        <w:jc w:val="right"/>
      </w:pPr>
      <w:r>
        <w:rPr>
          <w:rFonts w:ascii="Arial" w:cs="Arial" w:eastAsia="Arial" w:hAnsi="Arial"/>
          <w:b w:val="false"/>
          <w:bCs w:val="false"/>
          <w:i w:val="false"/>
          <w:iCs w:val="false"/>
          <w:sz w:val="22"/>
          <w:szCs w:val="22"/>
          <w:rtl/>
        </w:rPr>
        <w:t xml:space="preserve">سياسة صفر تسامح مع التحرّش أو العنف أو التمييز. يُتاح الإبلاغ للرئيس المباشر أو الموارد البشرية أو مدير العمليات، مع حماية المُبلِّغ من الانتقام، وتحقيق سرّي عادل.</w:t>
      </w:r>
    </w:p>
    <w:p>
      <w:pPr>
        <w:pStyle w:val="Heading2"/>
        <w:bidi/>
        <w:spacing w:after="120" w:before="200"/>
        <w:jc w:val="right"/>
      </w:pPr>
      <w:r>
        <w:rPr>
          <w:rFonts w:ascii="Arial" w:cs="Arial" w:eastAsia="Arial" w:hAnsi="Arial"/>
          <w:b/>
          <w:bCs/>
          <w:i w:val="false"/>
          <w:iCs w:val="false"/>
          <w:sz w:val="26"/>
          <w:szCs w:val="26"/>
          <w:rtl/>
        </w:rPr>
        <w:t xml:space="preserve">المادة (37): السلامة المهنية وإدارة المخاطر</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معدّات الوقاية الشخصية إلزامية حسب نوع العمل (نظارات/قفازات/كمامات/واقيات سمع/حزام ارتفاعات).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منع تشغيل أي ماكينة دون تدريب معتمد وإذن تشغيل.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ضوابط الكهرباء (فصل التيار قبل الصيانة)، وإدارة المواد القابلة للاشتعال، وصندوق إسعافات ومطافئ، والإبلاغ الفوري عن أي خطر/حادث/شبه حادث.</w:t>
      </w:r>
    </w:p>
    <w:p>
      <w:pPr>
        <w:pStyle w:val="Heading2"/>
        <w:bidi/>
        <w:spacing w:after="120" w:before="200"/>
        <w:jc w:val="right"/>
      </w:pPr>
      <w:r>
        <w:rPr>
          <w:rFonts w:ascii="Arial" w:cs="Arial" w:eastAsia="Arial" w:hAnsi="Arial"/>
          <w:b/>
          <w:bCs/>
          <w:i w:val="false"/>
          <w:iCs w:val="false"/>
          <w:sz w:val="26"/>
          <w:szCs w:val="26"/>
          <w:rtl/>
        </w:rPr>
        <w:t xml:space="preserve">المادة (38): حماية الأصول والسرّية والملكية الفكرية وتضارب المصالح</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لكل ماكينة مسؤول تشغيل وصيانة؛ يُسجَّل أي عطل فوراً وتُوقف عند خطر السلامة؛ ويُمنع إخراج أدوات/مواد دون إذن.</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معلومات العملاء وملفات التصميم وقوالب العمل سرّية وملك للورشة ما لم ينص عقد العميل على خلاف ذلك؛ ويُمنع نسخها أو تسريبها.</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يُمنع العمل الجانبي المنافس أو استغلال موارد الورشة، ويجب الإفصاح عن أي تضارب مصالح، ومنع قبول عمولات/هدايا من موردين أو عملاء مقابل تفضيلات.</w:t>
      </w:r>
    </w:p>
    <w:p>
      <w:pPr>
        <w:pStyle w:val="Heading1"/>
        <w:pageBreakBefore/>
        <w:bidi/>
        <w:spacing w:after="160" w:before="240"/>
        <w:jc w:val="right"/>
      </w:pPr>
      <w:r>
        <w:rPr>
          <w:rFonts w:ascii="Arial" w:cs="Arial" w:eastAsia="Arial" w:hAnsi="Arial"/>
          <w:b/>
          <w:bCs/>
          <w:i w:val="false"/>
          <w:iCs w:val="false"/>
          <w:sz w:val="30"/>
          <w:szCs w:val="30"/>
          <w:rtl/>
        </w:rPr>
        <w:t xml:space="preserve">الفصل التاسع: الأداء والحوافز والتطوير</w:t>
      </w:r>
    </w:p>
    <w:p>
      <w:pPr>
        <w:pStyle w:val="Heading2"/>
        <w:bidi/>
        <w:spacing w:after="120" w:before="200"/>
        <w:jc w:val="right"/>
      </w:pPr>
      <w:r>
        <w:rPr>
          <w:rFonts w:ascii="Arial" w:cs="Arial" w:eastAsia="Arial" w:hAnsi="Arial"/>
          <w:b/>
          <w:bCs/>
          <w:i w:val="false"/>
          <w:iCs w:val="false"/>
          <w:sz w:val="26"/>
          <w:szCs w:val="26"/>
          <w:rtl/>
        </w:rPr>
        <w:t xml:space="preserve">المادة (39): تقييم الأداء (KPI)</w:t>
      </w:r>
    </w:p>
    <w:p>
      <w:pPr>
        <w:bidi/>
        <w:spacing w:after="120" w:before="0" w:line="276"/>
        <w:jc w:val="right"/>
      </w:pPr>
      <w:r>
        <w:rPr>
          <w:rFonts w:ascii="Arial" w:cs="Arial" w:eastAsia="Arial" w:hAnsi="Arial"/>
          <w:b w:val="false"/>
          <w:bCs w:val="false"/>
          <w:i w:val="false"/>
          <w:iCs w:val="false"/>
          <w:sz w:val="22"/>
          <w:szCs w:val="22"/>
          <w:rtl/>
        </w:rPr>
        <w:t xml:space="preserve">نظام تقييم دوري (شهري/ربع سنوي) لكل وظيفة وخط عمل وفق مؤشرات: الالتزام والانضباط، الجودة (نسبة الأخطاء/الإرجاع)، الإنتاجية، السلامة، والتعاون. تُوثَّق الدرجة في ملف الموظف وتُستخدم للترقية والحوافز (نموذج د-3).</w:t>
      </w:r>
    </w:p>
    <w:p>
      <w:pPr>
        <w:pStyle w:val="Heading2"/>
        <w:bidi/>
        <w:spacing w:after="120" w:before="200"/>
        <w:jc w:val="right"/>
      </w:pPr>
      <w:r>
        <w:rPr>
          <w:rFonts w:ascii="Arial" w:cs="Arial" w:eastAsia="Arial" w:hAnsi="Arial"/>
          <w:b/>
          <w:bCs/>
          <w:i w:val="false"/>
          <w:iCs w:val="false"/>
          <w:sz w:val="26"/>
          <w:szCs w:val="26"/>
          <w:rtl/>
        </w:rPr>
        <w:t xml:space="preserve">المادة (40): الحوافز والمكافآت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مكافأة الانضباط الشهري (مثلاً: تأخير لا يتجاوز 60 دقيقة ولا مخالفات).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مكافأة الجودة (مخرجات بلا إعادة عمل).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مكافأة الفريق للمشاريع (تسليم مبكر/إشادة عميل) — قد تكون نسبة من أرباح المشروع.</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مكافآت استثنائية بقرار الإدارة العليا (إنقاذ موقف/ابتكار/صفقة كبيرة). وتظهر جميعها منفصلة في كشف الراتب.</w:t>
      </w:r>
    </w:p>
    <w:p>
      <w:pPr>
        <w:pStyle w:val="Heading2"/>
        <w:bidi/>
        <w:spacing w:after="120" w:before="200"/>
        <w:jc w:val="right"/>
      </w:pPr>
      <w:r>
        <w:rPr>
          <w:rFonts w:ascii="Arial" w:cs="Arial" w:eastAsia="Arial" w:hAnsi="Arial"/>
          <w:b/>
          <w:bCs/>
          <w:i w:val="false"/>
          <w:iCs w:val="false"/>
          <w:sz w:val="26"/>
          <w:szCs w:val="26"/>
          <w:rtl/>
        </w:rPr>
        <w:t xml:space="preserve">المادة (41): التدريب والإحلال والمسار المهني</w:t>
      </w:r>
    </w:p>
    <w:p>
      <w:pPr>
        <w:bidi/>
        <w:spacing w:after="120" w:before="0" w:line="276"/>
        <w:jc w:val="right"/>
      </w:pPr>
      <w:r>
        <w:rPr>
          <w:rFonts w:ascii="Arial" w:cs="Arial" w:eastAsia="Arial" w:hAnsi="Arial"/>
          <w:b w:val="false"/>
          <w:bCs w:val="false"/>
          <w:i w:val="false"/>
          <w:iCs w:val="false"/>
          <w:sz w:val="22"/>
          <w:szCs w:val="22"/>
          <w:rtl/>
        </w:rPr>
        <w:t xml:space="preserve">التدريب إلزامي في السلامة وتشغيل المعدات؛ وتُبنى خطة إحلال (Succession) للمناصب الحرجة؛ ويُعتمد مسار مهني بمستويات (مبتدئ/متوسط/متقدم/مشرف) بشروط واضحة (KPI + مهارة + سلوك)، مع منع الترقية الإدارية دون تدريب ميداني شامل.</w:t>
      </w:r>
    </w:p>
    <w:p>
      <w:pPr>
        <w:pStyle w:val="Heading1"/>
        <w:pageBreakBefore/>
        <w:bidi/>
        <w:spacing w:after="160" w:before="240"/>
        <w:jc w:val="right"/>
      </w:pPr>
      <w:r>
        <w:rPr>
          <w:rFonts w:ascii="Arial" w:cs="Arial" w:eastAsia="Arial" w:hAnsi="Arial"/>
          <w:b/>
          <w:bCs/>
          <w:i w:val="false"/>
          <w:iCs w:val="false"/>
          <w:sz w:val="30"/>
          <w:szCs w:val="30"/>
          <w:rtl/>
        </w:rPr>
        <w:t xml:space="preserve">الفصل العاشر: المخالفات والعقوبات والتظلمات</w:t>
      </w:r>
    </w:p>
    <w:p>
      <w:pPr>
        <w:pStyle w:val="Heading2"/>
        <w:bidi/>
        <w:spacing w:after="120" w:before="200"/>
        <w:jc w:val="right"/>
      </w:pPr>
      <w:r>
        <w:rPr>
          <w:rFonts w:ascii="Arial" w:cs="Arial" w:eastAsia="Arial" w:hAnsi="Arial"/>
          <w:b/>
          <w:bCs/>
          <w:i w:val="false"/>
          <w:iCs w:val="false"/>
          <w:sz w:val="26"/>
          <w:szCs w:val="26"/>
          <w:rtl/>
        </w:rPr>
        <w:t xml:space="preserve">المادة (42): مبادئ المساءلة والتناسب</w:t>
      </w:r>
    </w:p>
    <w:p>
      <w:pPr>
        <w:bidi/>
        <w:spacing w:after="120" w:before="0" w:line="276"/>
        <w:jc w:val="right"/>
      </w:pPr>
      <w:r>
        <w:rPr>
          <w:rFonts w:ascii="Arial" w:cs="Arial" w:eastAsia="Arial" w:hAnsi="Arial"/>
          <w:b w:val="false"/>
          <w:bCs w:val="false"/>
          <w:i w:val="false"/>
          <w:iCs w:val="false"/>
          <w:sz w:val="22"/>
          <w:szCs w:val="22"/>
          <w:rtl/>
        </w:rPr>
        <w:t xml:space="preserve">الغاية حماية النظام وتحسين الأداء لا الإيذاء. وتُراعى: التدرّج، التناسب، الإثبات، حق السماع، والسرّية.</w:t>
      </w:r>
    </w:p>
    <w:p>
      <w:pPr>
        <w:pStyle w:val="Heading2"/>
        <w:bidi/>
        <w:spacing w:after="120" w:before="200"/>
        <w:jc w:val="right"/>
      </w:pPr>
      <w:r>
        <w:rPr>
          <w:rFonts w:ascii="Arial" w:cs="Arial" w:eastAsia="Arial" w:hAnsi="Arial"/>
          <w:b/>
          <w:bCs/>
          <w:i w:val="false"/>
          <w:iCs w:val="false"/>
          <w:sz w:val="26"/>
          <w:szCs w:val="26"/>
          <w:rtl/>
        </w:rPr>
        <w:t xml:space="preserve">المادة (43): تصنيف المخالفات وتدرّج العقوبات</w:t>
      </w:r>
    </w:p>
    <w:p>
      <w:pPr>
        <w:bidi/>
        <w:spacing w:after="120" w:before="0" w:line="276"/>
        <w:jc w:val="right"/>
      </w:pPr>
      <w:r>
        <w:rPr>
          <w:rFonts w:ascii="Arial" w:cs="Arial" w:eastAsia="Arial" w:hAnsi="Arial"/>
          <w:b w:val="false"/>
          <w:bCs w:val="false"/>
          <w:i w:val="false"/>
          <w:iCs w:val="false"/>
          <w:sz w:val="22"/>
          <w:szCs w:val="22"/>
          <w:rtl/>
        </w:rPr>
        <w:t xml:space="preserve">تُصنَّف المخالفات: انضباط الوقت، تشغيلية، سلامة، أمانة، سلوكية؛ وبدرجات (بسيطة/متوسطة/جسيمة). والعقوبات بالتدرّج: تنبيه شفهي موثّق ← إنذار كتابي ← خصم مالي (بسند) ← إيقاف مؤقت ← إنهاء الخدمة. وفي السرقة/التسريب/العنف الجسيم يجوز إجراء فوري مع إحالة للجهات المختصة.</w:t>
      </w:r>
    </w:p>
    <w:p>
      <w:pPr>
        <w:pStyle w:val="Heading2"/>
        <w:bidi/>
        <w:spacing w:after="120" w:before="200"/>
        <w:jc w:val="right"/>
      </w:pPr>
      <w:r>
        <w:rPr>
          <w:rFonts w:ascii="Arial" w:cs="Arial" w:eastAsia="Arial" w:hAnsi="Arial"/>
          <w:b/>
          <w:bCs/>
          <w:i w:val="false"/>
          <w:iCs w:val="false"/>
          <w:sz w:val="26"/>
          <w:szCs w:val="26"/>
          <w:rtl/>
        </w:rPr>
        <w:t xml:space="preserve">المادة (44): التحقيق الإداري والتظلّم</w:t>
      </w:r>
    </w:p>
    <w:p>
      <w:pPr>
        <w:bidi/>
        <w:spacing w:after="120" w:before="0" w:line="276"/>
        <w:jc w:val="right"/>
      </w:pPr>
      <w:r>
        <w:rPr>
          <w:rFonts w:ascii="Arial" w:cs="Arial" w:eastAsia="Arial" w:hAnsi="Arial"/>
          <w:b w:val="false"/>
          <w:bCs w:val="false"/>
          <w:i w:val="false"/>
          <w:iCs w:val="false"/>
          <w:sz w:val="22"/>
          <w:szCs w:val="22"/>
          <w:rtl/>
        </w:rPr>
        <w:t xml:space="preserve">يُفتح محضر واقعة، ويُبلَّغ الموظف ويُمنح جلسة سماع، وتُجمع الأدلة (شهود/كاميرات/بصمة/QC/فواتير)، وتصدر توصية لجنة الانضباط خلال مدة معيارية. ويحق للموظف التظلّم خلال 48 ساعة كتابياً، وتُراجع الإدارة خلال مدة لا تتجاوز 5 أيام عمل.</w:t>
      </w:r>
    </w:p>
    <w:p>
      <w:pPr>
        <w:pStyle w:val="Heading1"/>
        <w:pageBreakBefore/>
        <w:bidi/>
        <w:spacing w:after="160" w:before="240"/>
        <w:jc w:val="right"/>
      </w:pPr>
      <w:r>
        <w:rPr>
          <w:rFonts w:ascii="Arial" w:cs="Arial" w:eastAsia="Arial" w:hAnsi="Arial"/>
          <w:b/>
          <w:bCs/>
          <w:i w:val="false"/>
          <w:iCs w:val="false"/>
          <w:sz w:val="30"/>
          <w:szCs w:val="30"/>
          <w:rtl/>
        </w:rPr>
        <w:t xml:space="preserve">الفصل الحادي عشر: أحكام خاصة بالعمال المؤقتين والمتعاونين</w:t>
      </w:r>
    </w:p>
    <w:p>
      <w:pPr>
        <w:pStyle w:val="Heading2"/>
        <w:bidi/>
        <w:spacing w:after="120" w:before="200"/>
        <w:jc w:val="right"/>
      </w:pPr>
      <w:r>
        <w:rPr>
          <w:rFonts w:ascii="Arial" w:cs="Arial" w:eastAsia="Arial" w:hAnsi="Arial"/>
          <w:b/>
          <w:bCs/>
          <w:i w:val="false"/>
          <w:iCs w:val="false"/>
          <w:sz w:val="26"/>
          <w:szCs w:val="26"/>
          <w:rtl/>
        </w:rPr>
        <w:t xml:space="preserve">المادة (45): النطاق والأجور والتوثيق</w:t>
      </w:r>
    </w:p>
    <w:p>
      <w:pPr>
        <w:bidi/>
        <w:spacing w:after="120" w:before="0" w:line="276"/>
        <w:jc w:val="right"/>
      </w:pPr>
      <w:r>
        <w:rPr>
          <w:rFonts w:ascii="Arial" w:cs="Arial" w:eastAsia="Arial" w:hAnsi="Arial"/>
          <w:b w:val="false"/>
          <w:bCs w:val="false"/>
          <w:i w:val="false"/>
          <w:iCs w:val="false"/>
          <w:sz w:val="22"/>
          <w:szCs w:val="22"/>
          <w:rtl/>
        </w:rPr>
        <w:t xml:space="preserve">يشمل: العامل بالساعة/بالمناوبة، العامل بالمهمة (مقطوعة)، المتعاون الخارجي، والمتدرّب غير المثبّت. يُحدَّد أجر الساعة/المهمة كتابياً قبل البدء، وتُوثَّق ساعات العمل بسجل معتمد أو بصمة، وتُصرف المستحقات حسب الاتفاق (يومي/أسبوعي/عند التسليم) بعد تحقّق الجودة.</w:t>
      </w:r>
    </w:p>
    <w:p>
      <w:pPr>
        <w:pStyle w:val="Heading2"/>
        <w:bidi/>
        <w:spacing w:after="120" w:before="200"/>
        <w:jc w:val="right"/>
      </w:pPr>
      <w:r>
        <w:rPr>
          <w:rFonts w:ascii="Arial" w:cs="Arial" w:eastAsia="Arial" w:hAnsi="Arial"/>
          <w:b/>
          <w:bCs/>
          <w:i w:val="false"/>
          <w:iCs w:val="false"/>
          <w:sz w:val="26"/>
          <w:szCs w:val="26"/>
          <w:rtl/>
        </w:rPr>
        <w:t xml:space="preserve">المادة (46): الالتزامات والسلامة والسرّية وإنهاء التعاقد</w:t>
      </w:r>
    </w:p>
    <w:p>
      <w:pPr>
        <w:bidi/>
        <w:spacing w:after="120" w:before="0" w:line="276"/>
        <w:jc w:val="right"/>
      </w:pPr>
      <w:r>
        <w:rPr>
          <w:rFonts w:ascii="Arial" w:cs="Arial" w:eastAsia="Arial" w:hAnsi="Arial"/>
          <w:b w:val="false"/>
          <w:bCs w:val="false"/>
          <w:i w:val="false"/>
          <w:iCs w:val="false"/>
          <w:sz w:val="22"/>
          <w:szCs w:val="22"/>
          <w:rtl/>
        </w:rPr>
        <w:t xml:space="preserve">يلتزم العامل المؤقت بقواعد السلامة والسرّية والسلوك. وينتهي التعاقد بانتهاء الساعات/المهمة، ويجوز إنهاؤه مبكراً عند ضعف أداء مؤثّر أو مخالفة سلامة أو إخلال بالأمانة، مع دفع المستحق عن العمل المنجز فقط.</w:t>
      </w:r>
    </w:p>
    <w:p>
      <w:pPr>
        <w:pStyle w:val="Heading1"/>
        <w:pageBreakBefore/>
        <w:bidi/>
        <w:spacing w:after="160" w:before="240"/>
        <w:jc w:val="right"/>
      </w:pPr>
      <w:r>
        <w:rPr>
          <w:rFonts w:ascii="Arial" w:cs="Arial" w:eastAsia="Arial" w:hAnsi="Arial"/>
          <w:b/>
          <w:bCs/>
          <w:i w:val="false"/>
          <w:iCs w:val="false"/>
          <w:sz w:val="30"/>
          <w:szCs w:val="30"/>
          <w:rtl/>
        </w:rPr>
        <w:t xml:space="preserve">الفصل الثاني عشر: النظام الرقمي (Octagon ERP) مرجعاً تشغيلياً (مستحدث)</w:t>
      </w:r>
    </w:p>
    <w:p>
      <w:pPr>
        <w:pStyle w:val="Heading2"/>
        <w:bidi/>
        <w:spacing w:after="120" w:before="200"/>
        <w:jc w:val="right"/>
      </w:pPr>
      <w:r>
        <w:rPr>
          <w:rFonts w:ascii="Arial" w:cs="Arial" w:eastAsia="Arial" w:hAnsi="Arial"/>
          <w:b/>
          <w:bCs/>
          <w:i w:val="false"/>
          <w:iCs w:val="false"/>
          <w:sz w:val="26"/>
          <w:szCs w:val="26"/>
          <w:rtl/>
        </w:rPr>
        <w:t xml:space="preserve">المادة (47): النظام الرقمي مرجعاً رسمياً (System of Record)</w:t>
      </w:r>
    </w:p>
    <w:p>
      <w:pPr>
        <w:bidi/>
        <w:spacing w:after="120" w:before="0" w:line="276"/>
        <w:jc w:val="right"/>
      </w:pPr>
      <w:r>
        <w:rPr>
          <w:rFonts w:ascii="Arial" w:cs="Arial" w:eastAsia="Arial" w:hAnsi="Arial"/>
          <w:b w:val="false"/>
          <w:bCs w:val="false"/>
          <w:i w:val="false"/>
          <w:iCs w:val="false"/>
          <w:sz w:val="22"/>
          <w:szCs w:val="22"/>
          <w:rtl/>
        </w:rPr>
        <w:t xml:space="preserve">يُعتمد النظام الرقمي «Octagon ERP» مرجعاً رسمياً لتسجيل ومعالجة: الحضور والانصراف، التايم شيت واحتساب الرواتب آلياً وفق حالات الدوام، المالية والمحاسبة (قيود/فواتير/مدفوعات/أرباح وخسائر لكل قسم)، المخزون والمشتريات، نقطة البيع، والتحليلات والتقارير والأتمتة ومساعد الذكاء الاصطناعي.</w:t>
      </w:r>
    </w:p>
    <w:p>
      <w:pPr>
        <w:pStyle w:val="Heading2"/>
        <w:bidi/>
        <w:spacing w:after="120" w:before="200"/>
        <w:jc w:val="right"/>
      </w:pPr>
      <w:r>
        <w:rPr>
          <w:rFonts w:ascii="Arial" w:cs="Arial" w:eastAsia="Arial" w:hAnsi="Arial"/>
          <w:b/>
          <w:bCs/>
          <w:i w:val="false"/>
          <w:iCs w:val="false"/>
          <w:sz w:val="26"/>
          <w:szCs w:val="26"/>
          <w:rtl/>
        </w:rPr>
        <w:t xml:space="preserve">المادة (48): مبادئ تشغيل النظام الرقمي</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ما يُسجَّل في النظام هو المعتمد؛ وأي تعديل يتم بصلاحية موثّقة ويُحفظ أثره (Audit).</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احتساب الرواتب يتبع حالات الدوام في الفصل السادس والملحق ج دون تعديل يدوي إلا بصلاحية.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لكل قسم محاسبة منفصلة في النظام لتتبّع ربحيته وتكلفته ودعم نماذج النِّسب/الشراكات.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النسخ الاحتياطي وحماية البيانات وسرّيتها مسؤولية قسم النظام الرقمي (AI TEAM).</w:t>
      </w:r>
    </w:p>
    <w:p>
      <w:pPr>
        <w:pStyle w:val="Heading2"/>
        <w:bidi/>
        <w:spacing w:after="120" w:before="200"/>
        <w:jc w:val="right"/>
      </w:pPr>
      <w:r>
        <w:rPr>
          <w:rFonts w:ascii="Arial" w:cs="Arial" w:eastAsia="Arial" w:hAnsi="Arial"/>
          <w:b/>
          <w:bCs/>
          <w:i w:val="false"/>
          <w:iCs w:val="false"/>
          <w:sz w:val="26"/>
          <w:szCs w:val="26"/>
          <w:rtl/>
        </w:rPr>
        <w:t xml:space="preserve">المادة (48 مكرر): خريطة وحدات النظام الرقمي (Octagon)</w:t>
      </w:r>
    </w:p>
    <w:p>
      <w:pPr>
        <w:bidi/>
        <w:spacing w:after="120" w:before="0" w:line="276"/>
        <w:jc w:val="right"/>
      </w:pPr>
      <w:r>
        <w:rPr>
          <w:rFonts w:ascii="Arial" w:cs="Arial" w:eastAsia="Arial" w:hAnsi="Arial"/>
          <w:b w:val="false"/>
          <w:bCs w:val="false"/>
          <w:i w:val="false"/>
          <w:iCs w:val="false"/>
          <w:sz w:val="22"/>
          <w:szCs w:val="22"/>
          <w:rtl/>
        </w:rPr>
        <w:t xml:space="preserve">يتكوّن النظام من وحدات مترابطة، لكل منها وظيفة ومسؤول وحالة. الجدول مرجع حيّ يُحدَّث مع التطوير:</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4426"/>
        <w:gridCol w:w="2000"/>
      </w:tblGrid>
      <w:tr>
        <w:trPr>
          <w:tblHeader/>
        </w:trPr>
        <w:tc>
          <w:tcPr>
            <w:tcW w:type="dxa" w:w="26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الوحدة</w:t>
            </w:r>
          </w:p>
        </w:tc>
        <w:tc>
          <w:tcPr>
            <w:tcW w:type="dxa" w:w="44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الوظيفة</w:t>
            </w:r>
          </w:p>
        </w:tc>
        <w:tc>
          <w:tcPr>
            <w:tcW w:type="dxa" w:w="2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الحالة</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التايم شيت (timesheet)</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الحضور والانصراف وحالات الدوام</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الرواتب (calculator)</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احتساب الرواتب والأجور والاستقطاعات</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المالية (finance)</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قيود مزدوجة/فواتير/مدفوعات/أرباح وخسائر لكل قسم</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الصندوق (cashbox)</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المقبوضات والمصروفات النقدية</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المبيعات (sales)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دورة العميل من العرض إلى التحصيل (O2C)</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نقطة البيع (POS)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البيع المباشر وخصم المخزون</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المخزون (inventory)</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المواد والكميات والجرد</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المهام (task_manager/kanban)</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إدارة المهام ولوحات المتابعة</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الإدارة والصلاحيات (admin)</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المستخدمون والصلاحيات</w:t>
            </w:r>
          </w:p>
        </w:tc>
        <w:tc>
          <w:tcPr>
            <w:tcW w:type="dxa" w:w="20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مكتمل</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أوامر التشغيل (op_packs)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حزم/أوامر تشغيل المشاريع</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مركز الجودة (qc_center)</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نقاط فحص الجودة قبل التسليم</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إجراءات التشغيل (sop)</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توثيق SOP لكل قسم</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المكائن (machines)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سجل المكائن والصيانة</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الذكاء والتحليلات (intelligence/analytics)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تقارير وتحليلات ومساعد AI</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الأتمتة (automation)</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أتمتة المهام والتنبيهات</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r>
        <w:tc>
          <w:tcPr>
            <w:tcW w:type="dxa" w:w="26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واتساب/البوابات (whatsapp/portals)</w:t>
            </w:r>
          </w:p>
        </w:tc>
        <w:tc>
          <w:tcPr>
            <w:tcW w:type="dxa" w:w="44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تكامل واتساب وبوابات العميل/الموظف</w:t>
            </w:r>
          </w:p>
        </w:tc>
        <w:tc>
          <w:tcPr>
            <w:tcW w:type="dxa" w:w="2000"/>
            <w:shd w:fill="FCF3CF"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قيد الإنشاء</w:t>
            </w:r>
          </w:p>
        </w:tc>
      </w:tr>
    </w:tbl>
    <w:tbl>
      <w:tblPr>
        <w:bidiVisual/>
        <w:tblW w:type="dxa" w:w="9026"/>
        <w:tblBorders>
          <w:top w:val="single" w:color="E0A800" w:sz="14"/>
          <w:left w:val="single" w:color="E0A800" w:sz="14"/>
          <w:bottom w:val="single" w:color="E0A800" w:sz="14"/>
          <w:right w:val="single" w:color="E0A800" w:sz="14"/>
          <w:insideH w:val="single" w:color="auto" w:sz="4"/>
          <w:insideV w:val="single" w:color="auto" w:sz="4"/>
        </w:tblBorders>
      </w:tblPr>
      <w:tblGrid>
        <w:gridCol w:w="9026"/>
      </w:tblGrid>
      <w:tr>
        <w:tc>
          <w:tcPr>
            <w:tcW w:type="dxa" w:w="9026"/>
            <w:shd w:fill="FFF7D6" w:color="auto" w:val="clear"/>
            <w:tcMar>
              <w:top w:type="dxa" w:w="90"/>
              <w:left w:type="dxa" w:w="140"/>
              <w:bottom w:type="dxa" w:w="90"/>
              <w:right w:type="dxa" w:w="140"/>
            </w:tcMar>
          </w:tcPr>
          <w:p>
            <w:pPr>
              <w:bidi/>
              <w:spacing w:after="50" w:line="268"/>
              <w:jc w:val="right"/>
            </w:pPr>
            <w:r>
              <w:rPr>
                <w:rFonts w:ascii="Arial" w:cs="Arial" w:eastAsia="Arial" w:hAnsi="Arial"/>
                <w:b/>
                <w:bCs/>
                <w:i w:val="false"/>
                <w:iCs w:val="false"/>
                <w:color w:val="8A6D00"/>
                <w:sz w:val="22"/>
                <w:szCs w:val="22"/>
                <w:rtl/>
              </w:rPr>
              <w:t xml:space="preserve">◇ سؤال للإدارة — اكتب جوابك هنا:</w:t>
            </w:r>
          </w:p>
          <w:p>
            <w:pPr>
              <w:bidi/>
              <w:spacing w:after="50" w:line="268"/>
              <w:jc w:val="right"/>
            </w:pPr>
            <w:r>
              <w:rPr>
                <w:rFonts w:ascii="Arial" w:cs="Arial" w:eastAsia="Arial" w:hAnsi="Arial"/>
                <w:b w:val="false"/>
                <w:bCs w:val="false"/>
                <w:i w:val="false"/>
                <w:iCs w:val="false"/>
                <w:color w:val="5C4A00"/>
                <w:sz w:val="22"/>
                <w:szCs w:val="22"/>
                <w:rtl/>
              </w:rPr>
              <w:t xml:space="preserve">س8. خريطة الوحدات: مَن المسؤول عن كل وحدة (أو القسم ككل)؟ وهل توجد وحدات يجب إضافتها (مثلاً المشتريات/الموردين، إدارة المشاريع، CRM)؟</w:t>
            </w:r>
          </w:p>
          <w:p>
            <w:pPr>
              <w:bidi/>
              <w:spacing w:after="50" w:line="268"/>
              <w:jc w:val="right"/>
            </w:pPr>
            <w:r>
              <w:rPr>
                <w:rFonts w:ascii="Arial" w:cs="Arial" w:eastAsia="Arial" w:hAnsi="Arial"/>
                <w:b/>
                <w:bCs/>
                <w:i w:val="false"/>
                <w:iCs w:val="false"/>
                <w:color w:val="8A6D00"/>
                <w:sz w:val="22"/>
                <w:szCs w:val="22"/>
                <w:rtl/>
              </w:rPr>
              <w:t xml:space="preserve">الجواب: </w:t>
            </w:r>
            <w:r>
              <w:rPr>
                <w:rFonts w:ascii="Arial" w:cs="Arial" w:eastAsia="Arial" w:hAnsi="Arial"/>
                <w:b w:val="false"/>
                <w:bCs w:val="false"/>
                <w:i w:val="false"/>
                <w:iCs w:val="false"/>
                <w:color w:val="8A6D00"/>
                <w:sz w:val="22"/>
                <w:szCs w:val="22"/>
                <w:rtl/>
              </w:rPr>
              <w:t xml:space="preserve">__________________________________________________</w:t>
            </w:r>
          </w:p>
        </w:tc>
      </w:tr>
    </w:tbl>
    <w:p>
      <w:pPr>
        <w:pStyle w:val="Heading1"/>
        <w:pageBreakBefore/>
        <w:bidi/>
        <w:spacing w:after="160" w:before="240"/>
        <w:jc w:val="right"/>
      </w:pPr>
      <w:r>
        <w:rPr>
          <w:rFonts w:ascii="Arial" w:cs="Arial" w:eastAsia="Arial" w:hAnsi="Arial"/>
          <w:b/>
          <w:bCs/>
          <w:i w:val="false"/>
          <w:iCs w:val="false"/>
          <w:sz w:val="30"/>
          <w:szCs w:val="30"/>
          <w:rtl/>
        </w:rPr>
        <w:t xml:space="preserve">الفصل الثالث عشر: أحكام ختامية</w:t>
      </w:r>
    </w:p>
    <w:p>
      <w:pPr>
        <w:pStyle w:val="Heading2"/>
        <w:bidi/>
        <w:spacing w:after="120" w:before="200"/>
        <w:jc w:val="right"/>
      </w:pPr>
      <w:r>
        <w:rPr>
          <w:rFonts w:ascii="Arial" w:cs="Arial" w:eastAsia="Arial" w:hAnsi="Arial"/>
          <w:b/>
          <w:bCs/>
          <w:i w:val="false"/>
          <w:iCs w:val="false"/>
          <w:sz w:val="26"/>
          <w:szCs w:val="26"/>
          <w:rtl/>
        </w:rPr>
        <w:t xml:space="preserve">المادة (49): سريان النظام وتاريخ النفاذ</w:t>
      </w:r>
    </w:p>
    <w:p>
      <w:pPr>
        <w:bidi/>
        <w:spacing w:after="120" w:before="0" w:line="276"/>
        <w:jc w:val="right"/>
      </w:pPr>
      <w:r>
        <w:rPr>
          <w:rFonts w:ascii="Arial" w:cs="Arial" w:eastAsia="Arial" w:hAnsi="Arial"/>
          <w:b w:val="false"/>
          <w:bCs w:val="false"/>
          <w:i w:val="false"/>
          <w:iCs w:val="false"/>
          <w:sz w:val="22"/>
          <w:szCs w:val="22"/>
          <w:rtl/>
        </w:rPr>
        <w:t xml:space="preserve">يُعتمد بقرار من الإدارة العليا ويسري من تاريخ النفاذ في صفحة الغلاف. وتُحفظ نسخة موقّعة في ملف كل موظف، وتكون النسخة الإلكترونية في النظام الرقمي مطابقةً للنسخة المعتمدة.</w:t>
      </w:r>
    </w:p>
    <w:p>
      <w:pPr>
        <w:pStyle w:val="Heading2"/>
        <w:bidi/>
        <w:spacing w:after="120" w:before="200"/>
        <w:jc w:val="right"/>
      </w:pPr>
      <w:r>
        <w:rPr>
          <w:rFonts w:ascii="Arial" w:cs="Arial" w:eastAsia="Arial" w:hAnsi="Arial"/>
          <w:b/>
          <w:bCs/>
          <w:i w:val="false"/>
          <w:iCs w:val="false"/>
          <w:sz w:val="26"/>
          <w:szCs w:val="26"/>
          <w:rtl/>
        </w:rPr>
        <w:t xml:space="preserve">المادة (50): أولوية الوثائق</w:t>
      </w:r>
    </w:p>
    <w:p>
      <w:pPr>
        <w:bidi/>
        <w:spacing w:after="120" w:before="0" w:line="276"/>
        <w:jc w:val="right"/>
      </w:pPr>
      <w:r>
        <w:rPr>
          <w:rFonts w:ascii="Arial" w:cs="Arial" w:eastAsia="Arial" w:hAnsi="Arial"/>
          <w:b w:val="false"/>
          <w:bCs w:val="false"/>
          <w:i w:val="false"/>
          <w:iCs w:val="false"/>
          <w:sz w:val="22"/>
          <w:szCs w:val="22"/>
          <w:rtl/>
        </w:rPr>
        <w:t xml:space="preserve">عند التعارض تكون الأولوية: (1) القوانين العراقية النافذة، (2) عقد العمل/اتفاقية الشراكة الموقّعة، (3) هذا النظام الداخلي الموحّد، (4) سياسات وإجراءات التشغيل (SOP) المعتمدة، (5) التوجيهات الإدارية المؤقتة المكتوبة والمؤرّخة.</w:t>
      </w:r>
    </w:p>
    <w:p>
      <w:pPr>
        <w:pStyle w:val="Heading2"/>
        <w:bidi/>
        <w:spacing w:after="120" w:before="200"/>
        <w:jc w:val="right"/>
      </w:pPr>
      <w:r>
        <w:rPr>
          <w:rFonts w:ascii="Arial" w:cs="Arial" w:eastAsia="Arial" w:hAnsi="Arial"/>
          <w:b/>
          <w:bCs/>
          <w:i w:val="false"/>
          <w:iCs w:val="false"/>
          <w:sz w:val="26"/>
          <w:szCs w:val="26"/>
          <w:rtl/>
        </w:rPr>
        <w:t xml:space="preserve">المادة (51): التوقيع والإقرار</w:t>
      </w:r>
    </w:p>
    <w:p>
      <w:pPr>
        <w:bidi/>
        <w:spacing w:after="120" w:before="0" w:line="276"/>
        <w:jc w:val="right"/>
      </w:pPr>
      <w:r>
        <w:rPr>
          <w:rFonts w:ascii="Arial" w:cs="Arial" w:eastAsia="Arial" w:hAnsi="Arial"/>
          <w:b w:val="false"/>
          <w:bCs w:val="false"/>
          <w:i w:val="false"/>
          <w:iCs w:val="false"/>
          <w:sz w:val="22"/>
          <w:szCs w:val="22"/>
          <w:rtl/>
        </w:rPr>
        <w:t xml:space="preserve">يقرّ الموظف/العامل/الشريك باطّلاعه على هذا النظام وفهمه والتزامه به. وتوقّع الإدارة العليا ومدير العمليات والمعني على صفحة الإقرار.</w:t>
      </w:r>
    </w:p>
    <w:p>
      <w:pPr>
        <w:pStyle w:val="Heading2"/>
        <w:bidi/>
        <w:spacing w:after="120" w:before="200"/>
        <w:jc w:val="right"/>
      </w:pPr>
      <w:r>
        <w:rPr>
          <w:rFonts w:ascii="Arial" w:cs="Arial" w:eastAsia="Arial" w:hAnsi="Arial"/>
          <w:b/>
          <w:bCs/>
          <w:i w:val="false"/>
          <w:iCs w:val="false"/>
          <w:sz w:val="26"/>
          <w:szCs w:val="26"/>
          <w:rtl/>
        </w:rPr>
        <w:t xml:space="preserve">المادة (52): سجل التعديلات (Change Log)</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5026"/>
        <w:gridCol w:w="2000"/>
        <w:gridCol w:w="2000"/>
      </w:tblGrid>
      <w:tr>
        <w:trPr>
          <w:tblHeader/>
        </w:trPr>
        <w:tc>
          <w:tcPr>
            <w:tcW w:type="dxa" w:w="50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أبرز التغييرات</w:t>
            </w:r>
          </w:p>
        </w:tc>
        <w:tc>
          <w:tcPr>
            <w:tcW w:type="dxa" w:w="2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التاريخ</w:t>
            </w:r>
          </w:p>
        </w:tc>
        <w:tc>
          <w:tcPr>
            <w:tcW w:type="dxa" w:w="20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الإصدار</w:t>
            </w:r>
          </w:p>
        </w:tc>
      </w:tr>
      <w:tr>
        <w:tc>
          <w:tcPr>
            <w:tcW w:type="dxa" w:w="5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النسخة الأساسية للنظام الداخلي</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v1.1</w:t>
            </w:r>
          </w:p>
        </w:tc>
      </w:tr>
      <w:tr>
        <w:tc>
          <w:tcPr>
            <w:tcW w:type="dxa" w:w="5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نسخة مؤسسية مفصّلة (حوكمة، مصفوفة صلاحيات، PENTAGON، لجان)</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2026-03</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v2</w:t>
            </w:r>
          </w:p>
        </w:tc>
      </w:tr>
      <w:tr>
        <w:tc>
          <w:tcPr>
            <w:tcW w:type="dxa" w:w="5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توحيد v1.1+v2؛ حالات الدوام و«معفى بالساعات»؛ المناوبات؛ أنواع التوظيف؛ نماذج الأجور والشراكات؛ سجل الأقسام و AI TEAM؛ فصل النظام الرقمي؛ تقنين استقطاعات الانضباط الزمني (×2) عبر اتفاق جماعي وفق م(139) (الملحق ز)</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2026-06</w:t>
            </w:r>
          </w:p>
        </w:tc>
        <w:tc>
          <w:tcPr>
            <w:tcW w:type="dxa" w:w="20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v3</w:t>
            </w:r>
          </w:p>
        </w:tc>
      </w:tr>
      <w:tr>
        <w:tc>
          <w:tcPr>
            <w:tcW w:type="dxa" w:w="50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تحويله إلى ملف رئيسي شامل (Master): دلائل الأقسام التفصيلية (م15 مكرر)، خريطة وحدات النظام الرقمي (م48 مكرر)، نظام الأسئلة المضمّنة الملوّنة وعلامات «غير مُنجَز»، وسجل الأسئلة المفتوحة (الملحق ح)</w:t>
            </w:r>
          </w:p>
        </w:tc>
        <w:tc>
          <w:tcPr>
            <w:tcW w:type="dxa" w:w="20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2026-06</w:t>
            </w:r>
          </w:p>
        </w:tc>
        <w:tc>
          <w:tcPr>
            <w:tcW w:type="dxa" w:w="20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v3.1 (هذه النسخة)</w:t>
            </w:r>
          </w:p>
        </w:tc>
      </w:tr>
    </w:tbl>
    <w:p>
      <w:pPr>
        <w:pStyle w:val="Heading1"/>
        <w:pageBreakBefore/>
        <w:bidi/>
        <w:spacing w:after="160" w:before="240"/>
        <w:jc w:val="right"/>
      </w:pPr>
      <w:r>
        <w:rPr>
          <w:rFonts w:ascii="Arial" w:cs="Arial" w:eastAsia="Arial" w:hAnsi="Arial"/>
          <w:b/>
          <w:bCs/>
          <w:i w:val="false"/>
          <w:iCs w:val="false"/>
          <w:sz w:val="30"/>
          <w:szCs w:val="30"/>
          <w:rtl/>
        </w:rPr>
        <w:t xml:space="preserve">الملاحق</w:t>
      </w:r>
    </w:p>
    <w:p>
      <w:pPr>
        <w:pStyle w:val="Heading2"/>
        <w:bidi/>
        <w:spacing w:after="120" w:before="200"/>
        <w:jc w:val="right"/>
      </w:pPr>
      <w:r>
        <w:rPr>
          <w:rFonts w:ascii="Arial" w:cs="Arial" w:eastAsia="Arial" w:hAnsi="Arial"/>
          <w:b/>
          <w:bCs/>
          <w:i w:val="false"/>
          <w:iCs w:val="false"/>
          <w:sz w:val="26"/>
          <w:szCs w:val="26"/>
          <w:rtl/>
        </w:rPr>
        <w:t xml:space="preserve">ملحق (أ): الهيكل التنظيمي المقترح</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الإدارة العليا</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مدير العمليات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الإدارة المالية (محاسب/صندوق/تحصيل/مشتريات)</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الموارد البشرية (توظيف/ملفات/تدريب/انضباط)</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السلامة والجودة (HSE + QC)</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قسم الذكاء الاصطناعي والنظام الرقمي (AI TEAM)</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مدراء الأقسام/الخطوط (طباعة/ساينج/منتجات/معماري/كميونيتي + أقسام التوسّع)</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      ↳ مشرفون ← فنيون/عمال ← دعم لوجستي</w:t>
      </w:r>
    </w:p>
    <w:p>
      <w:pPr>
        <w:pStyle w:val="Heading2"/>
        <w:bidi/>
        <w:spacing w:after="120" w:before="200"/>
        <w:jc w:val="right"/>
      </w:pPr>
      <w:r>
        <w:rPr>
          <w:rFonts w:ascii="Arial" w:cs="Arial" w:eastAsia="Arial" w:hAnsi="Arial"/>
          <w:b/>
          <w:bCs/>
          <w:i w:val="false"/>
          <w:iCs w:val="false"/>
          <w:sz w:val="26"/>
          <w:szCs w:val="26"/>
          <w:rtl/>
        </w:rPr>
        <w:t xml:space="preserve">ملحق (ب): مصفوفة الصلاحيات (نموذج للتعبئة)</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1300"/>
        <w:gridCol w:w="1500"/>
        <w:gridCol w:w="1500"/>
        <w:gridCol w:w="1500"/>
        <w:gridCol w:w="1500"/>
        <w:gridCol w:w="1726"/>
      </w:tblGrid>
      <w:tr>
        <w:trPr>
          <w:tblHeader/>
        </w:trPr>
        <w:tc>
          <w:tcPr>
            <w:tcW w:type="dxa" w:w="13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ملاحظات</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الإدارة العليا</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المدير المالي</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مدير العمليات</w:t>
            </w:r>
          </w:p>
        </w:tc>
        <w:tc>
          <w:tcPr>
            <w:tcW w:type="dxa" w:w="15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رئيس خط</w:t>
            </w:r>
          </w:p>
        </w:tc>
        <w:tc>
          <w:tcPr>
            <w:tcW w:type="dxa" w:w="17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القرار</w:t>
            </w:r>
          </w:p>
        </w:tc>
      </w:tr>
      <w:tr>
        <w:tc>
          <w:tcPr>
            <w:tcW w:type="dxa" w:w="1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إرفاق أمر شراء</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فوق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7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شراء مواد تشغيلية</w:t>
            </w:r>
          </w:p>
        </w:tc>
      </w:tr>
      <w:tr>
        <w:tc>
          <w:tcPr>
            <w:tcW w:type="dxa" w:w="1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منع الخصم الشفهي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فوق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17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خصم للعميل</w:t>
            </w:r>
          </w:p>
        </w:tc>
      </w:tr>
      <w:tr>
        <w:tc>
          <w:tcPr>
            <w:tcW w:type="dxa" w:w="1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تسوية خلال 48 ساعة</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فوق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حتى ____</w:t>
            </w:r>
          </w:p>
        </w:tc>
        <w:tc>
          <w:tcPr>
            <w:tcW w:type="dxa" w:w="17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صرف عهدة خارجية</w:t>
            </w:r>
          </w:p>
        </w:tc>
      </w:tr>
      <w:tr>
        <w:tc>
          <w:tcPr>
            <w:tcW w:type="dxa" w:w="1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تقرير QC إلزامي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الحالات الكبيرة</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يعتمد إن مالي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يعتمد</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يقترح</w:t>
            </w:r>
          </w:p>
        </w:tc>
        <w:tc>
          <w:tcPr>
            <w:tcW w:type="dxa" w:w="17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إعادة تصنيع بسبب خطأ</w:t>
            </w:r>
          </w:p>
        </w:tc>
      </w:tr>
      <w:tr>
        <w:tc>
          <w:tcPr>
            <w:tcW w:type="dxa" w:w="13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3 عروض إن أمكن</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يعتمد</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يوصي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يوصي</w:t>
            </w:r>
          </w:p>
        </w:tc>
        <w:tc>
          <w:tcPr>
            <w:tcW w:type="dxa" w:w="15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1726"/>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شراء ماكينة/أصل ثابت</w:t>
            </w:r>
          </w:p>
        </w:tc>
      </w:tr>
    </w:tbl>
    <w:p>
      <w:pPr>
        <w:pStyle w:val="Heading2"/>
        <w:bidi/>
        <w:spacing w:after="120" w:before="200"/>
        <w:jc w:val="right"/>
      </w:pPr>
      <w:r>
        <w:rPr>
          <w:rFonts w:ascii="Arial" w:cs="Arial" w:eastAsia="Arial" w:hAnsi="Arial"/>
          <w:b/>
          <w:bCs/>
          <w:i w:val="false"/>
          <w:iCs w:val="false"/>
          <w:sz w:val="26"/>
          <w:szCs w:val="26"/>
          <w:rtl/>
        </w:rPr>
        <w:t xml:space="preserve">ملحق (ج): جدول حالات الدوام واحتساب الأجر (تفصيلي)</w:t>
      </w:r>
    </w:p>
    <w:p>
      <w:pPr>
        <w:bidi/>
        <w:spacing w:after="120" w:before="0" w:line="276"/>
        <w:jc w:val="right"/>
      </w:pPr>
      <w:r>
        <w:rPr>
          <w:rFonts w:ascii="Arial" w:cs="Arial" w:eastAsia="Arial" w:hAnsi="Arial"/>
          <w:b w:val="false"/>
          <w:bCs w:val="false"/>
          <w:i w:val="false"/>
          <w:iCs w:val="false"/>
          <w:sz w:val="22"/>
          <w:szCs w:val="22"/>
          <w:rtl/>
        </w:rPr>
        <w:t xml:space="preserve">سعر الساعة = (الراتب الأساسي ÷ أيام الشهر) ÷ 9. البدل يُوزَّع على أيام العمل ويُمنح عن كل يوم حضور. تُعتمد سماحية تأخير شهرية (القيمة الآلية الحالية 10 دقائق على إجمالي التأخير).</w:t>
      </w:r>
    </w:p>
    <w:tbl>
      <w:tblPr>
        <w:bidiVisual/>
        <w:tblW w:type="dxa" w:w="9026"/>
        <w:tblBorders>
          <w:top w:val="single" w:color="9CA3AF" w:sz="4"/>
          <w:left w:val="single" w:color="9CA3AF" w:sz="4"/>
          <w:bottom w:val="single" w:color="9CA3AF" w:sz="4"/>
          <w:right w:val="single" w:color="9CA3AF" w:sz="4"/>
          <w:insideH w:val="single" w:color="9CA3AF" w:sz="4"/>
          <w:insideV w:val="single" w:color="9CA3AF" w:sz="4"/>
        </w:tblBorders>
      </w:tblPr>
      <w:tblGrid>
        <w:gridCol w:w="2200"/>
        <w:gridCol w:w="3400"/>
        <w:gridCol w:w="1626"/>
        <w:gridCol w:w="1800"/>
      </w:tblGrid>
      <w:tr>
        <w:trPr>
          <w:tblHeader/>
        </w:trPr>
        <w:tc>
          <w:tcPr>
            <w:tcW w:type="dxa" w:w="22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الغرامات</w:t>
            </w:r>
          </w:p>
        </w:tc>
        <w:tc>
          <w:tcPr>
            <w:tcW w:type="dxa" w:w="34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احتساب الأجر/الإضافي</w:t>
            </w:r>
          </w:p>
        </w:tc>
        <w:tc>
          <w:tcPr>
            <w:tcW w:type="dxa" w:w="1626"/>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تؤثر على الأيام؟</w:t>
            </w:r>
          </w:p>
        </w:tc>
        <w:tc>
          <w:tcPr>
            <w:tcW w:type="dxa" w:w="1800"/>
            <w:shd w:fill="D9E2F3" w:color="auto" w:val="clear"/>
            <w:tcMar>
              <w:top w:type="dxa" w:w="60"/>
              <w:left w:type="dxa" w:w="100"/>
              <w:bottom w:type="dxa" w:w="60"/>
              <w:right w:type="dxa" w:w="100"/>
            </w:tcMar>
          </w:tcPr>
          <w:p>
            <w:pPr>
              <w:bidi/>
              <w:spacing w:after="0" w:line="264"/>
              <w:jc w:val="center"/>
            </w:pPr>
            <w:r>
              <w:rPr>
                <w:rFonts w:ascii="Arial" w:cs="Arial" w:eastAsia="Arial" w:hAnsi="Arial"/>
                <w:b/>
                <w:bCs/>
                <w:i w:val="false"/>
                <w:iCs w:val="false"/>
                <w:sz w:val="20"/>
                <w:szCs w:val="20"/>
                <w:rtl/>
              </w:rPr>
              <w:t xml:space="preserve">الحالة (المفتاح)</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تأخير ×2 / خروج مبكر ×2</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6م ×1.5</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حضور كامل</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دوام عادي (normal)</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تأخير / لا خروج مبكر</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9س فعلية ×1.5</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حضور كامل</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متأخر معذور (late_excused)</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خروج مبكر</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تأخير وإضافي عاديان</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حضور كامل</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مغادر مبكر معذور (early_excused)</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غرامات</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كاملة + بدل؛ إضافي بعد 9س فعلية ×1.5؛ يحوّل اليوم التالي إلى معفى بالساعات</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حضور كامل</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شفت ليلي (night_shift)</w:t>
            </w:r>
          </w:p>
        </w:tc>
      </w:tr>
      <w:tr>
        <w:tc>
          <w:tcPr>
            <w:tcW w:type="dxa" w:w="22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 غرامات</w:t>
            </w:r>
          </w:p>
        </w:tc>
        <w:tc>
          <w:tcPr>
            <w:tcW w:type="dxa" w:w="3400"/>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ساعات الحضور الفعلية × سعر الساعة + بدل كامل؛ بلا إضافي</w:t>
            </w:r>
          </w:p>
        </w:tc>
        <w:tc>
          <w:tcPr>
            <w:tcW w:type="dxa" w:w="1626"/>
            <w:shd w:fill="D5F5E3" w:color="auto" w:val="clear"/>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محتسب بالساعات (لا يوم كامل)</w:t>
            </w:r>
          </w:p>
        </w:tc>
        <w:tc>
          <w:tcPr>
            <w:tcW w:type="dxa" w:w="1800"/>
            <w:shd w:fill="D5F5E3" w:color="auto" w:val="clear"/>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معفى بالساعات (hourly_excused) — جديد</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 كل الساعات ×2 (بلا بدل)</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عمل جمعة</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عمل يوم الراحة (friday_work)</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يومية فقط بلا بدل</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يوم راحة مدفوع</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عطلة مدفوعة (friday)</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غير مدفوعة عدا السنوية</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لا</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إجازة (leave)</w:t>
            </w:r>
          </w:p>
        </w:tc>
      </w:tr>
      <w:tr>
        <w:tc>
          <w:tcPr>
            <w:tcW w:type="dxa" w:w="22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w:t>
            </w:r>
          </w:p>
        </w:tc>
        <w:tc>
          <w:tcPr>
            <w:tcW w:type="dxa" w:w="3400"/>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خصم يومية اليوم + يومية تعويض انضباطي + فقدان يوم الراحة المدفوع (بالاتفاق الجماعي)</w:t>
            </w:r>
          </w:p>
        </w:tc>
        <w:tc>
          <w:tcPr>
            <w:tcW w:type="dxa" w:w="1626"/>
            <w:tcMar>
              <w:top w:type="dxa" w:w="60"/>
              <w:left w:type="dxa" w:w="100"/>
              <w:bottom w:type="dxa" w:w="60"/>
              <w:right w:type="dxa" w:w="100"/>
            </w:tcMar>
          </w:tcPr>
          <w:p>
            <w:pPr>
              <w:bidi/>
              <w:spacing w:after="0" w:line="264"/>
              <w:jc w:val="right"/>
            </w:pPr>
            <w:r>
              <w:rPr>
                <w:rFonts w:ascii="Arial" w:cs="Arial" w:eastAsia="Arial" w:hAnsi="Arial"/>
                <w:b w:val="false"/>
                <w:bCs w:val="false"/>
                <w:i w:val="false"/>
                <w:iCs w:val="false"/>
                <w:sz w:val="20"/>
                <w:szCs w:val="20"/>
                <w:rtl/>
              </w:rPr>
              <w:t xml:space="preserve">خصم</w:t>
            </w:r>
          </w:p>
        </w:tc>
        <w:tc>
          <w:tcPr>
            <w:tcW w:type="dxa" w:w="1800"/>
            <w:tcMar>
              <w:top w:type="dxa" w:w="60"/>
              <w:left w:type="dxa" w:w="100"/>
              <w:bottom w:type="dxa" w:w="60"/>
              <w:right w:type="dxa" w:w="100"/>
            </w:tcMar>
          </w:tcPr>
          <w:p>
            <w:pPr>
              <w:bidi/>
              <w:spacing w:after="0" w:line="264"/>
              <w:jc w:val="right"/>
            </w:pPr>
            <w:r>
              <w:rPr>
                <w:rFonts w:ascii="Arial" w:cs="Arial" w:eastAsia="Arial" w:hAnsi="Arial"/>
                <w:b/>
                <w:bCs/>
                <w:i w:val="false"/>
                <w:iCs w:val="false"/>
                <w:sz w:val="20"/>
                <w:szCs w:val="20"/>
                <w:rtl/>
              </w:rPr>
              <w:t xml:space="preserve">غياب (absent)</w:t>
            </w:r>
          </w:p>
        </w:tc>
      </w:tr>
    </w:tbl>
    <w:p>
      <w:pPr>
        <w:pStyle w:val="Heading2"/>
        <w:bidi/>
        <w:spacing w:after="120" w:before="200"/>
        <w:jc w:val="right"/>
      </w:pPr>
      <w:r>
        <w:rPr>
          <w:rFonts w:ascii="Arial" w:cs="Arial" w:eastAsia="Arial" w:hAnsi="Arial"/>
          <w:b/>
          <w:bCs/>
          <w:i w:val="false"/>
          <w:iCs w:val="false"/>
          <w:sz w:val="26"/>
          <w:szCs w:val="26"/>
          <w:rtl/>
        </w:rPr>
        <w:t xml:space="preserve">ملحق (د): أنواع التوظيف ونماذج الأجور/الشراكات</w:t>
      </w:r>
    </w:p>
    <w:p>
      <w:pPr>
        <w:bidi/>
        <w:spacing w:after="120" w:before="0" w:line="276"/>
        <w:jc w:val="right"/>
      </w:pPr>
      <w:r>
        <w:rPr>
          <w:rFonts w:ascii="Arial" w:cs="Arial" w:eastAsia="Arial" w:hAnsi="Arial"/>
          <w:b w:val="false"/>
          <w:bCs w:val="false"/>
          <w:i w:val="false"/>
          <w:iCs w:val="false"/>
          <w:sz w:val="22"/>
          <w:szCs w:val="22"/>
          <w:rtl/>
        </w:rPr>
        <w:t xml:space="preserve">يُرجع للمادتين (31) و(32). تُحدَّد النِّسب وأساس احتسابها وتوقيت الصرف في العقد الفردي أو اتفاقية الشراكة، ولا تُصرف أي نسبة قبل إقفال مالي معتمد وتسعير معياري سليم.</w:t>
      </w:r>
    </w:p>
    <w:p>
      <w:pPr>
        <w:pStyle w:val="Heading2"/>
        <w:bidi/>
        <w:spacing w:after="120" w:before="200"/>
        <w:jc w:val="right"/>
      </w:pPr>
      <w:r>
        <w:rPr>
          <w:rFonts w:ascii="Arial" w:cs="Arial" w:eastAsia="Arial" w:hAnsi="Arial"/>
          <w:b/>
          <w:bCs/>
          <w:i w:val="false"/>
          <w:iCs w:val="false"/>
          <w:sz w:val="26"/>
          <w:szCs w:val="26"/>
          <w:rtl/>
        </w:rPr>
        <w:t xml:space="preserve">ملحق (هـ): سجل الأقسام (يُحدَّث باعتماد الإدارة)</w:t>
      </w:r>
    </w:p>
    <w:p>
      <w:pPr>
        <w:bidi/>
        <w:spacing w:after="120" w:before="0" w:line="276"/>
        <w:jc w:val="right"/>
      </w:pPr>
      <w:r>
        <w:rPr>
          <w:rFonts w:ascii="Arial" w:cs="Arial" w:eastAsia="Arial" w:hAnsi="Arial"/>
          <w:b w:val="false"/>
          <w:bCs w:val="false"/>
          <w:i w:val="false"/>
          <w:iCs w:val="false"/>
          <w:sz w:val="22"/>
          <w:szCs w:val="22"/>
          <w:rtl/>
        </w:rPr>
        <w:t xml:space="preserve">يُرجع للمادة (15). يُحدَّث السجل كلما تغيّرت حالة قسم (مكتمل/قيد الإنشاء/فكرة) أو أُضيف قسم جديد، ويُحفظ في النظام الرقمي.</w:t>
      </w:r>
    </w:p>
    <w:p>
      <w:pPr>
        <w:pStyle w:val="Heading2"/>
        <w:bidi/>
        <w:spacing w:after="120" w:before="200"/>
        <w:jc w:val="right"/>
      </w:pPr>
      <w:r>
        <w:rPr>
          <w:rFonts w:ascii="Arial" w:cs="Arial" w:eastAsia="Arial" w:hAnsi="Arial"/>
          <w:b/>
          <w:bCs/>
          <w:i w:val="false"/>
          <w:iCs w:val="false"/>
          <w:sz w:val="26"/>
          <w:szCs w:val="26"/>
          <w:rtl/>
        </w:rPr>
        <w:t xml:space="preserve">ملحق (و): نماذج العمل والموارد البشرية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نموذج (و-1): طلب/فتح مشروع — رقم المشروع، العميل، الخط/الخطوط، المتطلبات، الموقع، موعد التسليم، المسؤول.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نموذج (و-2): محضر فحص جودة قبل التسليم (QC Gate) — نقاط الفحص، النتيجة (مقبول/مرفوض)، مسؤول QC.</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نموذج (و-3): محضر تسليم للعميل — ما تم تسليمه، الحالة، توقيع المستلم وممثل الورشة.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نموذج (و-4): أمر تغيير (Change Order) — وصف التغيير، أثره على السعر والوقت، اعتماد العميل والإدارة.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نموذج (و-5): إنذار كتابي / محضر تحقيق إداري / تقييم أداء شهري (0–100).</w:t>
      </w:r>
    </w:p>
    <w:p>
      <w:pPr>
        <w:pStyle w:val="Heading2"/>
        <w:bidi/>
        <w:spacing w:after="120" w:before="200"/>
        <w:jc w:val="right"/>
      </w:pPr>
      <w:r>
        <w:rPr>
          <w:rFonts w:ascii="Arial" w:cs="Arial" w:eastAsia="Arial" w:hAnsi="Arial"/>
          <w:b/>
          <w:bCs/>
          <w:i w:val="false"/>
          <w:iCs w:val="false"/>
          <w:sz w:val="26"/>
          <w:szCs w:val="26"/>
          <w:rtl/>
        </w:rPr>
        <w:t xml:space="preserve">ملحق (ز): الاتفاق الجماعي/الإقرار باعتماد استقطاعات الانضباط الزمني</w:t>
      </w:r>
    </w:p>
    <w:p>
      <w:pPr>
        <w:bidi/>
        <w:spacing w:after="120" w:before="0" w:line="276"/>
        <w:jc w:val="right"/>
      </w:pPr>
      <w:r>
        <w:rPr>
          <w:rFonts w:ascii="Arial" w:cs="Arial" w:eastAsia="Arial" w:hAnsi="Arial"/>
          <w:b w:val="false"/>
          <w:bCs w:val="false"/>
          <w:i w:val="false"/>
          <w:iCs w:val="false"/>
          <w:sz w:val="22"/>
          <w:szCs w:val="22"/>
          <w:rtl/>
        </w:rPr>
        <w:t xml:space="preserve">يُوقَّع هذا الإقرار مع عقد العمل، ويُعدّ اتفاقاً مسبقاً يُجيز الاستقطاعات المبيّنة أدناه استناداً إلى الاستثناء الوارد في المادة (139) من قانون العمل العراقي رقم 37 لسنة 2015 (المادة 29 مكرر).</w:t>
      </w:r>
    </w:p>
    <w:p>
      <w:pPr>
        <w:bidi/>
        <w:spacing w:after="120" w:before="0" w:line="276"/>
        <w:jc w:val="right"/>
      </w:pPr>
      <w:r>
        <w:rPr>
          <w:rFonts w:ascii="Arial" w:cs="Arial" w:eastAsia="Arial" w:hAnsi="Arial"/>
          <w:b w:val="false"/>
          <w:bCs w:val="false"/>
          <w:i w:val="false"/>
          <w:iCs w:val="false"/>
          <w:sz w:val="22"/>
          <w:szCs w:val="22"/>
          <w:rtl/>
        </w:rPr>
        <w:t xml:space="preserve">نظراً لأن تأخّر العامل أو غيابه يُكبّد الورشة كلفة فعلية تفوق أجر وقته (إيجار، كهرباء، أجور طاقم الإشراف والمحاسبة، وتعطيل عمل بقية الفريق)، يوافق العامل الموقّع أدناه طوعاً ومسبقاً على اعتماد الاستقطاعات الآتية مقابل عدم الالتزام بأوقات الدوام (وهي قابلة للتفادي بالكامل بالالتزام والإشعار المسبق):</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التأخير/المغادرة المبكرة: ضعف قيمة الساعة (×2) عن كل ساعة بعد السماحية الشهرية.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الغياب بدون إذن مسبق: خصم يومية اليوم الغائب + يومية تعويضية عن التعطيل + فقدان استحقاق يوم الراحة المدفوع لذلك الأسبوع.</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لا يتجاوز إجمالي الاستقطاع الشهري السقف القانوني (المادة 57): 20% من الأجر (أو 30% لمن يزيد أجره عن ثلاثة أضعاف الحد الأدنى).</w:t>
      </w:r>
    </w:p>
    <w:p>
      <w:pPr>
        <w:spacing w:after="60"/>
      </w:pPr>
    </w:p>
    <w:p>
      <w:pPr>
        <w:bidi/>
        <w:spacing w:after="120" w:before="0" w:line="276"/>
        <w:jc w:val="right"/>
      </w:pPr>
      <w:r>
        <w:rPr>
          <w:rFonts w:ascii="Arial" w:cs="Arial" w:eastAsia="Arial" w:hAnsi="Arial"/>
          <w:b w:val="false"/>
          <w:bCs w:val="false"/>
          <w:i w:val="false"/>
          <w:iCs w:val="false"/>
          <w:sz w:val="22"/>
          <w:szCs w:val="22"/>
          <w:rtl/>
        </w:rPr>
        <w:t xml:space="preserve">أُقرّ بأنني اطّلعت على هذا الاتفاق وفهمته ووافقت عليه طوعاً بوصفه جزءاً من شروط عملي.</w:t>
      </w:r>
    </w:p>
    <w:p>
      <w:pPr>
        <w:bidi/>
        <w:spacing w:after="120" w:before="0" w:line="276"/>
        <w:jc w:val="right"/>
      </w:pPr>
      <w:r>
        <w:rPr>
          <w:rFonts w:ascii="Arial" w:cs="Arial" w:eastAsia="Arial" w:hAnsi="Arial"/>
          <w:b w:val="false"/>
          <w:bCs w:val="false"/>
          <w:i w:val="false"/>
          <w:iCs w:val="false"/>
          <w:sz w:val="22"/>
          <w:szCs w:val="22"/>
          <w:rtl/>
        </w:rPr>
        <w:t xml:space="preserve">الاسم: ____________________   التوقيع: ____________   التاريخ: ____ / ____ / ______</w:t>
      </w:r>
    </w:p>
    <w:p>
      <w:pPr>
        <w:bidi/>
        <w:spacing w:after="120" w:before="0" w:line="276"/>
        <w:jc w:val="right"/>
      </w:pPr>
      <w:r>
        <w:rPr>
          <w:rFonts w:ascii="Arial" w:cs="Arial" w:eastAsia="Arial" w:hAnsi="Arial"/>
          <w:b w:val="false"/>
          <w:bCs w:val="false"/>
          <w:i w:val="false"/>
          <w:iCs w:val="false"/>
          <w:sz w:val="22"/>
          <w:szCs w:val="22"/>
          <w:rtl/>
        </w:rPr>
        <w:t xml:space="preserve">توقيع ممثل الإدارة: ____________________</w:t>
      </w:r>
    </w:p>
    <w:p>
      <w:pPr>
        <w:pStyle w:val="Heading2"/>
        <w:bidi/>
        <w:spacing w:after="120" w:before="200"/>
        <w:jc w:val="right"/>
      </w:pPr>
      <w:r>
        <w:rPr>
          <w:rFonts w:ascii="Arial" w:cs="Arial" w:eastAsia="Arial" w:hAnsi="Arial"/>
          <w:b/>
          <w:bCs/>
          <w:i w:val="false"/>
          <w:iCs w:val="false"/>
          <w:sz w:val="26"/>
          <w:szCs w:val="26"/>
          <w:rtl/>
        </w:rPr>
        <w:t xml:space="preserve">ملحق (ح): سجل الأسئلة المفتوحة — أجب هنا لإكمال النظام</w:t>
      </w:r>
    </w:p>
    <w:p>
      <w:pPr>
        <w:bidi/>
        <w:spacing w:after="120" w:before="0" w:line="276"/>
        <w:jc w:val="right"/>
      </w:pPr>
      <w:r>
        <w:rPr>
          <w:rFonts w:ascii="Arial" w:cs="Arial" w:eastAsia="Arial" w:hAnsi="Arial"/>
          <w:b w:val="false"/>
          <w:bCs w:val="false"/>
          <w:i w:val="false"/>
          <w:iCs w:val="false"/>
          <w:sz w:val="22"/>
          <w:szCs w:val="22"/>
          <w:rtl/>
        </w:rPr>
        <w:t xml:space="preserve">قائمة موحّدة بكل الأسئلة الواردة في الملف (مكرّرة في أماكنها بصناديق صفراء). الإجابة عنها تُكمل الأقسام المرتبطة.</w:t>
      </w:r>
    </w:p>
    <w:p>
      <w:pPr>
        <w:bidi/>
        <w:spacing w:after="20" w:before="80" w:line="270"/>
        <w:jc w:val="right"/>
      </w:pPr>
      <w:r>
        <w:rPr>
          <w:rFonts w:ascii="Arial" w:cs="Arial" w:eastAsia="Arial" w:hAnsi="Arial"/>
          <w:b/>
          <w:bCs/>
          <w:i w:val="false"/>
          <w:iCs w:val="false"/>
          <w:color w:val="8A6D00"/>
          <w:sz w:val="22"/>
          <w:szCs w:val="22"/>
          <w:rtl/>
        </w:rPr>
        <w:t xml:space="preserve">س1. </w:t>
      </w:r>
      <w:r>
        <w:rPr>
          <w:rFonts w:ascii="Arial" w:cs="Arial" w:eastAsia="Arial" w:hAnsi="Arial"/>
          <w:b/>
          <w:bCs/>
          <w:i w:val="false"/>
          <w:iCs w:val="false"/>
          <w:sz w:val="22"/>
          <w:szCs w:val="22"/>
          <w:rtl/>
        </w:rPr>
        <w:t xml:space="preserve">قسم الطباعة: مَن مديره الحالي، وما نموذج تعويضه (راتب / راتب+نسبة / شريك)، وما النسبة وأساس احتسابها إن وُجدت؟</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س2. </w:t>
      </w:r>
      <w:r>
        <w:rPr>
          <w:rFonts w:ascii="Arial" w:cs="Arial" w:eastAsia="Arial" w:hAnsi="Arial"/>
          <w:b/>
          <w:bCs/>
          <w:i w:val="false"/>
          <w:iCs w:val="false"/>
          <w:sz w:val="22"/>
          <w:szCs w:val="22"/>
          <w:rtl/>
        </w:rPr>
        <w:t xml:space="preserve">قسم الساينج: مديره الحالي، نموذج تعويضه، ومستهدفات KPIs (نسبة خطأ التركيب، دقة المواعيد، حوادث السلامة = صفر)؟</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س3. </w:t>
      </w:r>
      <w:r>
        <w:rPr>
          <w:rFonts w:ascii="Arial" w:cs="Arial" w:eastAsia="Arial" w:hAnsi="Arial"/>
          <w:b/>
          <w:bCs/>
          <w:i w:val="false"/>
          <w:iCs w:val="false"/>
          <w:sz w:val="22"/>
          <w:szCs w:val="22"/>
          <w:rtl/>
        </w:rPr>
        <w:t xml:space="preserve">قسم المنتجات المخصصة: المدير، نموذج التعويض، وأهم 3 مؤشرات أداء بمستهدفاتها؟</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س4. </w:t>
      </w:r>
      <w:r>
        <w:rPr>
          <w:rFonts w:ascii="Arial" w:cs="Arial" w:eastAsia="Arial" w:hAnsi="Arial"/>
          <w:b/>
          <w:bCs/>
          <w:i w:val="false"/>
          <w:iCs w:val="false"/>
          <w:sz w:val="22"/>
          <w:szCs w:val="22"/>
          <w:rtl/>
        </w:rPr>
        <w:t xml:space="preserve">قسم التصميم المعماري: مَن قائد الفريق، ونموذج التعويض، وهل يرتبط جزء من أجره بربحية المشاريع؟</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س5. </w:t>
      </w:r>
      <w:r>
        <w:rPr>
          <w:rFonts w:ascii="Arial" w:cs="Arial" w:eastAsia="Arial" w:hAnsi="Arial"/>
          <w:b/>
          <w:bCs/>
          <w:i w:val="false"/>
          <w:iCs w:val="false"/>
          <w:sz w:val="22"/>
          <w:szCs w:val="22"/>
          <w:rtl/>
        </w:rPr>
        <w:t xml:space="preserve">قسم الكميونيتي والتدريب: ما نموذج الإيراد المعتمد ومَن المسؤول وما تاريخ الإطلاق المستهدف؟</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س6. </w:t>
      </w:r>
      <w:r>
        <w:rPr>
          <w:rFonts w:ascii="Arial" w:cs="Arial" w:eastAsia="Arial" w:hAnsi="Arial"/>
          <w:b/>
          <w:bCs/>
          <w:i w:val="false"/>
          <w:iCs w:val="false"/>
          <w:sz w:val="22"/>
          <w:szCs w:val="22"/>
          <w:rtl/>
        </w:rPr>
        <w:t xml:space="preserve">قسم AI TEAM: مَن مسؤوله، وهل يُعامَل كمركز كلفة داخلي أم مركز ربح (يبيع خدمات رقمية)؟</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س7. </w:t>
      </w:r>
      <w:r>
        <w:rPr>
          <w:rFonts w:ascii="Arial" w:cs="Arial" w:eastAsia="Arial" w:hAnsi="Arial"/>
          <w:b/>
          <w:bCs/>
          <w:i w:val="false"/>
          <w:iCs w:val="false"/>
          <w:sz w:val="22"/>
          <w:szCs w:val="22"/>
          <w:rtl/>
        </w:rPr>
        <w:t xml:space="preserve">القسمان 7 و8: ما اسم كل قسم مقترح، وحالته (فكرة/قيد الإنشاء)، ونموذج تشغيله (داخلي/شراكة)؟</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bidi/>
        <w:spacing w:after="20" w:before="80" w:line="270"/>
        <w:jc w:val="right"/>
      </w:pPr>
      <w:r>
        <w:rPr>
          <w:rFonts w:ascii="Arial" w:cs="Arial" w:eastAsia="Arial" w:hAnsi="Arial"/>
          <w:b/>
          <w:bCs/>
          <w:i w:val="false"/>
          <w:iCs w:val="false"/>
          <w:color w:val="8A6D00"/>
          <w:sz w:val="22"/>
          <w:szCs w:val="22"/>
          <w:rtl/>
        </w:rPr>
        <w:t xml:space="preserve">س8. </w:t>
      </w:r>
      <w:r>
        <w:rPr>
          <w:rFonts w:ascii="Arial" w:cs="Arial" w:eastAsia="Arial" w:hAnsi="Arial"/>
          <w:b/>
          <w:bCs/>
          <w:i w:val="false"/>
          <w:iCs w:val="false"/>
          <w:sz w:val="22"/>
          <w:szCs w:val="22"/>
          <w:rtl/>
        </w:rPr>
        <w:t xml:space="preserve">خريطة الوحدات: مَن المسؤول عن كل وحدة (أو القسم ككل)؟ وهل توجد وحدات يجب إضافتها (مثلاً المشتريات/الموردين، إدارة المشاريع، CRM)؟</w:t>
      </w:r>
    </w:p>
    <w:p>
      <w:pPr>
        <w:bidi/>
        <w:spacing w:after="40" w:before="0" w:line="276"/>
        <w:jc w:val="right"/>
      </w:pPr>
      <w:r>
        <w:rPr>
          <w:rFonts w:ascii="Arial" w:cs="Arial" w:eastAsia="Arial" w:hAnsi="Arial"/>
          <w:b/>
          <w:bCs/>
          <w:i w:val="false"/>
          <w:iCs w:val="false"/>
          <w:sz w:val="22"/>
          <w:szCs w:val="22"/>
          <w:rtl/>
        </w:rPr>
        <w:t xml:space="preserve">الجواب: </w:t>
      </w:r>
      <w:r>
        <w:rPr>
          <w:rFonts w:ascii="Arial" w:cs="Arial" w:eastAsia="Arial" w:hAnsi="Arial"/>
          <w:b w:val="false"/>
          <w:bCs w:val="false"/>
          <w:i w:val="false"/>
          <w:iCs w:val="false"/>
          <w:sz w:val="22"/>
          <w:szCs w:val="22"/>
          <w:rtl/>
        </w:rPr>
        <w:t xml:space="preserve">________________________________________________________</w:t>
      </w:r>
    </w:p>
    <w:p>
      <w:pPr>
        <w:pStyle w:val="Heading3"/>
        <w:bidi/>
        <w:spacing w:after="100" w:before="140"/>
        <w:jc w:val="right"/>
      </w:pPr>
      <w:r>
        <w:rPr>
          <w:rFonts w:ascii="Arial" w:cs="Arial" w:eastAsia="Arial" w:hAnsi="Arial"/>
          <w:b/>
          <w:bCs/>
          <w:i w:val="false"/>
          <w:iCs w:val="false"/>
          <w:sz w:val="23"/>
          <w:szCs w:val="23"/>
          <w:rtl/>
        </w:rPr>
        <w:t xml:space="preserve">بنود عامة تحتاج تعبئة (Placeholders)</w:t>
      </w:r>
    </w:p>
    <w:p>
      <w:pPr>
        <w:bidi/>
        <w:spacing w:after="120" w:before="0" w:line="276"/>
        <w:jc w:val="right"/>
      </w:pPr>
      <w:r>
        <w:rPr>
          <w:rFonts w:ascii="Arial" w:cs="Arial" w:eastAsia="Arial" w:hAnsi="Arial"/>
          <w:b w:val="false"/>
          <w:bCs w:val="false"/>
          <w:i w:val="false"/>
          <w:iCs w:val="false"/>
          <w:sz w:val="22"/>
          <w:szCs w:val="22"/>
          <w:rtl/>
        </w:rPr>
        <w:t xml:space="preserve">إضافةً إلى ما سبق، تُستكمل الفراغات (____) التالية باعتماد الإدارة: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الأقسام 7 و8: الاسم + الحالة (فكرة/قيد الإنشاء) + نموذج التشغيل.</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نِسب نماذج الأجور والشراكات (راتب+نسبة / نسبة أرباح / عمولة مبيعات / حصة الشريك) وأساس احتسابها وتوقيت صرفها.</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سقوف مصفوفة الصلاحيات (الملحق ب): مبالغ الاعتماد لكل مستوى.</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مقدار سماحية التأخير الشهرية المعتمدة (توحيد 10 دقائق في النظام مع 30 دقيقة في سياسة البصمة).</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مستهدفات KPIs للأقسام غير المكتملة (المنتجات المخصصة/المعماري/الكميونيتي/AI).</w:t>
      </w:r>
    </w:p>
    <w:p>
      <w:pPr>
        <w:pStyle w:val="ListParagraph"/>
        <w:numPr>
          <w:ilvl w:val="0"/>
          <w:numId w:val="2"/>
        </w:numPr>
        <w:bidi/>
        <w:spacing w:after="70" w:line="270"/>
        <w:jc w:val="right"/>
      </w:pPr>
      <w:r>
        <w:rPr>
          <w:rFonts w:ascii="Arial" w:cs="Arial" w:eastAsia="Arial" w:hAnsi="Arial"/>
          <w:b w:val="false"/>
          <w:bCs w:val="false"/>
          <w:i w:val="false"/>
          <w:iCs w:val="false"/>
          <w:sz w:val="22"/>
          <w:szCs w:val="22"/>
          <w:rtl/>
        </w:rPr>
        <w:t xml:space="preserve">الإجازة السنوية والمرضية: الأيام والشروط النهائية وفق العقد والقانون.</w:t>
      </w:r>
    </w:p>
    <w:p>
      <w:pPr>
        <w:pStyle w:val="Heading1"/>
        <w:pageBreakBefore/>
        <w:bidi/>
        <w:spacing w:after="160"/>
        <w:jc w:val="right"/>
      </w:pPr>
      <w:r>
        <w:rPr>
          <w:rFonts w:ascii="Arial" w:cs="Arial" w:eastAsia="Arial" w:hAnsi="Arial"/>
          <w:b/>
          <w:bCs/>
          <w:i w:val="false"/>
          <w:iCs w:val="false"/>
          <w:sz w:val="30"/>
          <w:szCs w:val="30"/>
          <w:rtl/>
        </w:rPr>
        <w:t xml:space="preserve">صفحة الإقرار والتوقيع</w:t>
      </w:r>
    </w:p>
    <w:p>
      <w:pPr>
        <w:bidi/>
        <w:spacing w:after="120" w:before="0" w:line="276"/>
        <w:jc w:val="right"/>
      </w:pPr>
      <w:r>
        <w:rPr>
          <w:rFonts w:ascii="Arial" w:cs="Arial" w:eastAsia="Arial" w:hAnsi="Arial"/>
          <w:b w:val="false"/>
          <w:bCs w:val="false"/>
          <w:i w:val="false"/>
          <w:iCs w:val="false"/>
          <w:sz w:val="22"/>
          <w:szCs w:val="22"/>
          <w:rtl/>
        </w:rPr>
        <w:t xml:space="preserve">أُقرّ أنا الموقّع أدناه بأنني استلمت وقرأت وفهمت النظام الداخلي الموحّد للورشة الهندسية (الإصدار v3)، وأتعهّد بالالتزام بجميع مواده وإجراءاته.</w:t>
      </w:r>
    </w:p>
    <w:p>
      <w:pPr>
        <w:spacing w:after="120"/>
      </w:pPr>
    </w:p>
    <w:p>
      <w:pPr>
        <w:bidi/>
        <w:spacing w:after="120" w:before="0" w:line="276"/>
        <w:jc w:val="right"/>
      </w:pPr>
      <w:r>
        <w:rPr>
          <w:rFonts w:ascii="Arial" w:cs="Arial" w:eastAsia="Arial" w:hAnsi="Arial"/>
          <w:b w:val="false"/>
          <w:bCs w:val="false"/>
          <w:i w:val="false"/>
          <w:iCs w:val="false"/>
          <w:sz w:val="22"/>
          <w:szCs w:val="22"/>
          <w:rtl/>
        </w:rPr>
        <w:t xml:space="preserve">الاسم الثلاثي: ________________________________</w:t>
      </w:r>
    </w:p>
    <w:p>
      <w:pPr>
        <w:bidi/>
        <w:spacing w:after="120" w:before="0" w:line="276"/>
        <w:jc w:val="right"/>
      </w:pPr>
      <w:r>
        <w:rPr>
          <w:rFonts w:ascii="Arial" w:cs="Arial" w:eastAsia="Arial" w:hAnsi="Arial"/>
          <w:b w:val="false"/>
          <w:bCs w:val="false"/>
          <w:i w:val="false"/>
          <w:iCs w:val="false"/>
          <w:sz w:val="22"/>
          <w:szCs w:val="22"/>
          <w:rtl/>
        </w:rPr>
        <w:t xml:space="preserve">الوظيفة/القسم: ________________________________   نوع التعاقد: ____________________</w:t>
      </w:r>
    </w:p>
    <w:p>
      <w:pPr>
        <w:bidi/>
        <w:spacing w:after="120" w:before="0" w:line="276"/>
        <w:jc w:val="right"/>
      </w:pPr>
      <w:r>
        <w:rPr>
          <w:rFonts w:ascii="Arial" w:cs="Arial" w:eastAsia="Arial" w:hAnsi="Arial"/>
          <w:b w:val="false"/>
          <w:bCs w:val="false"/>
          <w:i w:val="false"/>
          <w:iCs w:val="false"/>
          <w:sz w:val="22"/>
          <w:szCs w:val="22"/>
          <w:rtl/>
        </w:rPr>
        <w:t xml:space="preserve">رقم الهاتف: ________________________________</w:t>
      </w:r>
    </w:p>
    <w:p>
      <w:pPr>
        <w:bidi/>
        <w:spacing w:after="120" w:before="0" w:line="276"/>
        <w:jc w:val="right"/>
      </w:pPr>
      <w:r>
        <w:rPr>
          <w:rFonts w:ascii="Arial" w:cs="Arial" w:eastAsia="Arial" w:hAnsi="Arial"/>
          <w:b w:val="false"/>
          <w:bCs w:val="false"/>
          <w:i w:val="false"/>
          <w:iCs w:val="false"/>
          <w:sz w:val="22"/>
          <w:szCs w:val="22"/>
          <w:rtl/>
        </w:rPr>
        <w:t xml:space="preserve">التاريخ: ____ / ____ / ______        التوقيع: ____________________</w:t>
      </w:r>
    </w:p>
    <w:p>
      <w:pPr>
        <w:spacing w:after="120"/>
      </w:pPr>
    </w:p>
    <w:p>
      <w:pPr>
        <w:bidi/>
        <w:spacing w:after="120" w:before="0" w:line="276"/>
        <w:jc w:val="right"/>
      </w:pPr>
      <w:r>
        <w:rPr>
          <w:rFonts w:ascii="Arial" w:cs="Arial" w:eastAsia="Arial" w:hAnsi="Arial"/>
          <w:b w:val="false"/>
          <w:bCs w:val="false"/>
          <w:i w:val="false"/>
          <w:iCs w:val="false"/>
          <w:sz w:val="22"/>
          <w:szCs w:val="22"/>
          <w:rtl/>
        </w:rPr>
        <w:t xml:space="preserve">توقيع ممثل الإدارة: ____________________        توقيع مدير العمليات: 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bCs w:val="false"/>
        <w:i w:val="false"/>
        <w:iCs w:val="false"/>
        <w:sz w:val="18"/>
        <w:szCs w:val="18"/>
        <w:rtl/>
      </w:rPr>
      <w:t xml:space="preserve">النظام الداخلي الموحّد v3 — الورشة الهندسية — صفحة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2026-06-09T00:48:36.216Z</dcterms:created>
  <dcterms:modified xsi:type="dcterms:W3CDTF">2026-06-09T00:48:36.217Z</dcterms:modified>
</cp:coreProperties>
</file>

<file path=docProps/custom.xml><?xml version="1.0" encoding="utf-8"?>
<Properties xmlns="http://schemas.openxmlformats.org/officeDocument/2006/custom-properties" xmlns:vt="http://schemas.openxmlformats.org/officeDocument/2006/docPropsVTypes"/>
</file>