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النظام الداخلي الشامل</w:t>
        <w:br/>
        <w:t>الورشة الهندسية</w:t>
        <w:br/>
        <w:t>نسخة مؤسسية متقدمة – 2026</w:t>
      </w:r>
    </w:p>
    <w:p>
      <w:r>
        <w:t>هذه الوثيقة تمثل النسخة المؤسسية المتقدمة للنظام الداخلي الخاص بالورشة الهندسية، وهي مصممة لتناسب هيكل تنظيمي يصل إلى 100 موظف، مع حوكمة واضحة، مصفوفة صلاحيات رقمية، نظام مالي تفصيلي، نظام موارد بشرية متكامل، وإجراءات تشغيل قياسية (SOP).</w:t>
      </w:r>
    </w:p>
    <w:p>
      <w:r>
        <w:br w:type="page"/>
      </w:r>
    </w:p>
    <w:p>
      <w:pPr>
        <w:pStyle w:val="Heading1"/>
      </w:pPr>
      <w:r>
        <w:t>فهرس المحتويات</w:t>
      </w:r>
    </w:p>
    <w:p>
      <w:r>
        <w:t>الفصل الأول: التعاريف والرؤية والحوكمة</w:t>
        <w:br/>
        <w:t>الفصل الثاني: الهيكل الإداري التفصيلي ومصفوفة الصلاحيات</w:t>
        <w:br/>
        <w:t>الفصل الثالث: نظام التشغيل القياسي (Workflow &amp; SOP)</w:t>
        <w:br/>
        <w:t>الفصل الرابع: نظام الدوام والانضباط الزمني</w:t>
        <w:br/>
        <w:t>الفصل الخامس: النظام المالي والمحاسبي التفصيلي</w:t>
        <w:br/>
        <w:t>الفصل السادس: نظام الموارد البشرية والتقييم والترقية</w:t>
        <w:br/>
        <w:t>الفصل السابع: نظام العقوبات والتحقيقات الإدارية</w:t>
        <w:br/>
        <w:t>الفصل الثامن: نظام الحوافز والمكافآت الاستراتيجية</w:t>
        <w:br/>
        <w:t>الفصل التاسع: السلامة المهنية وإدارة المخاطر</w:t>
        <w:br/>
        <w:t>الفصل العاشر: نظام العقود والتعاون المؤقت</w:t>
        <w:br/>
        <w:t>الفصل الحادي عشر: الملاحق والنماذج المعتمدة</w:t>
      </w:r>
    </w:p>
    <w:p>
      <w:r>
        <w:br w:type="page"/>
      </w:r>
    </w:p>
    <w:p>
      <w:pPr>
        <w:pStyle w:val="Heading1"/>
      </w:pPr>
      <w:r>
        <w:t>الفصل الأول: التعاريف والرؤية والحوكمة</w:t>
      </w:r>
    </w:p>
    <w:p>
      <w:r>
        <w:t>المادة 1: التعريف بالورشة</w:t>
      </w:r>
    </w:p>
    <w:p>
      <w:r>
        <w:t>الورشة الهندسية هي منشأة صناعية هندسية متكاملة متخصصة في:</w:t>
      </w:r>
    </w:p>
    <w:p>
      <w:r>
        <w:t>- أنظمة الساينج واللوحات الضوئية.</w:t>
      </w:r>
    </w:p>
    <w:p>
      <w:r>
        <w:t>- الطباعة الرقمية والليزر وCNC.</w:t>
      </w:r>
    </w:p>
    <w:p>
      <w:r>
        <w:t>- المنتجات المخصصة والهدايا المؤسسية.</w:t>
      </w:r>
    </w:p>
    <w:p>
      <w:r>
        <w:t>- التصميم المعماري والتنفيذي.</w:t>
      </w:r>
    </w:p>
    <w:p>
      <w:r>
        <w:t>- الحلول التقنية والتركيبات الكهربائية.</w:t>
      </w:r>
    </w:p>
    <w:p/>
    <w:p>
      <w:r>
        <w:t>المادة 2: الرؤية المؤسسية</w:t>
      </w:r>
    </w:p>
    <w:p>
      <w:r>
        <w:t>التحول من ورشة تنفيذية إلى مؤسسة صناعية هندسية منظمة تعمل بنظام خطوط إنتاج واضحة مع استقلال إداري ومالي نسبي لكل خط.</w:t>
      </w:r>
    </w:p>
    <w:p/>
    <w:p>
      <w:r>
        <w:t>المادة 3: مبادئ الحوكمة</w:t>
      </w:r>
    </w:p>
    <w:p>
      <w:r>
        <w:t>- الفصل بين الصلاحيات التنفيذية والمالية.</w:t>
      </w:r>
    </w:p>
    <w:p>
      <w:r>
        <w:t>- التوثيق الإجباري لكل قرار مالي أو تشغيلي.</w:t>
      </w:r>
    </w:p>
    <w:p>
      <w:r>
        <w:t>- اعتماد الأرقام وليس الاجتهاد في الإدارة.</w:t>
      </w:r>
    </w:p>
    <w:p>
      <w:r>
        <w:br w:type="page"/>
      </w:r>
    </w:p>
    <w:p>
      <w:pPr>
        <w:pStyle w:val="Heading1"/>
      </w:pPr>
      <w:r>
        <w:t>الفصل الثاني: الهيكل الإداري التفصيلي ومصفوفة الصلاحيات</w:t>
      </w:r>
    </w:p>
    <w:p>
      <w:r>
        <w:t>المادة 1: الهيكل التنظيمي</w:t>
      </w:r>
    </w:p>
    <w:p>
      <w:r>
        <w:t>يتكون الهيكل من:</w:t>
      </w:r>
    </w:p>
    <w:p>
      <w:r>
        <w:t>- المالك العام.</w:t>
      </w:r>
    </w:p>
    <w:p>
      <w:r>
        <w:t>- المدير التنفيذي.</w:t>
      </w:r>
    </w:p>
    <w:p>
      <w:r>
        <w:t>- مدير العمليات.</w:t>
      </w:r>
    </w:p>
    <w:p>
      <w:r>
        <w:t>- المدير المالي.</w:t>
      </w:r>
    </w:p>
    <w:p>
      <w:r>
        <w:t>- مدير الموارد البشرية.</w:t>
      </w:r>
    </w:p>
    <w:p>
      <w:r>
        <w:t>- مدراء خطوط الإنتاج.</w:t>
      </w:r>
    </w:p>
    <w:p>
      <w:r>
        <w:t>- المشرفين الفنيين.</w:t>
      </w:r>
    </w:p>
    <w:p>
      <w:r>
        <w:t>- الفرق التشغيلية.</w:t>
      </w:r>
    </w:p>
    <w:p/>
    <w:p>
      <w:r>
        <w:t>المادة 2: مصفوفة الصلاحيات المالية</w:t>
      </w:r>
    </w:p>
    <w:p>
      <w:r>
        <w:t>سقف اعتماد مسؤول الخط: حتى 250,000 دينار.</w:t>
      </w:r>
    </w:p>
    <w:p>
      <w:r>
        <w:t>سقف اعتماد مدير العمليات: حتى 1,000,000 دينار.</w:t>
      </w:r>
    </w:p>
    <w:p>
      <w:r>
        <w:t>ما يزيد عن ذلك يحتاج موافقة الإدارة العليا.</w:t>
      </w:r>
    </w:p>
    <w:p/>
    <w:p>
      <w:r>
        <w:t>لا يجوز صرف أي مبلغ دون مستند رسمي.</w:t>
      </w:r>
    </w:p>
    <w:p>
      <w:r>
        <w:br w:type="page"/>
      </w:r>
    </w:p>
    <w:p>
      <w:pPr>
        <w:pStyle w:val="Heading1"/>
      </w:pPr>
      <w:r>
        <w:t>الفصل الثالث: نظام التشغيل القياسي (Workflow &amp; SOP)</w:t>
      </w:r>
    </w:p>
    <w:p>
      <w:r>
        <w:t>المادة 1: مسار الطلب</w:t>
      </w:r>
    </w:p>
    <w:p>
      <w:r>
        <w:t>استلام → تصميم → تسعير → موافقة → تنفيذ → QC → تسليم → متابعة.</w:t>
      </w:r>
    </w:p>
    <w:p/>
    <w:p>
      <w:r>
        <w:t>المادة 2: التوثيق الإلزامي</w:t>
      </w:r>
    </w:p>
    <w:p>
      <w:r>
        <w:t>- بطاقة مشروع رقمية.</w:t>
      </w:r>
    </w:p>
    <w:p>
      <w:r>
        <w:t>- تحديد مسؤول المشروع.</w:t>
      </w:r>
    </w:p>
    <w:p>
      <w:r>
        <w:t>- جدول زمني واضح.</w:t>
      </w:r>
    </w:p>
    <w:p>
      <w:r>
        <w:t>- قائمة مواد (BOM).</w:t>
      </w:r>
    </w:p>
    <w:p>
      <w:r>
        <w:t>- تقرير جودة قبل التسليم.</w:t>
      </w:r>
    </w:p>
    <w:p>
      <w:r>
        <w:br w:type="page"/>
      </w:r>
    </w:p>
    <w:p>
      <w:pPr>
        <w:pStyle w:val="Heading1"/>
      </w:pPr>
      <w:r>
        <w:t>الفصل الرابع: نظام الدوام والانضباط الزمني</w:t>
      </w:r>
    </w:p>
    <w:p>
      <w:r>
        <w:t>الدوام الرسمي: 9:00 صباحاً – 6:00 مساءً.</w:t>
      </w:r>
    </w:p>
    <w:p>
      <w:r>
        <w:t>الاستراحة: ساعة مدفوعة.</w:t>
      </w:r>
    </w:p>
    <w:p>
      <w:r>
        <w:t>العمل الإضافي: 1.5×.</w:t>
      </w:r>
    </w:p>
    <w:p>
      <w:r>
        <w:t>العمل في يوم الراحة: 2×.</w:t>
      </w:r>
    </w:p>
    <w:p>
      <w:r>
        <w:t>الغياب غير المبرر: خصم مضاعف.</w:t>
      </w:r>
    </w:p>
    <w:p>
      <w:r>
        <w:br w:type="page"/>
      </w:r>
    </w:p>
    <w:p>
      <w:pPr>
        <w:pStyle w:val="Heading1"/>
      </w:pPr>
      <w:r>
        <w:t>الفصل الخامس: النظام المالي والمحاسبي التفصيلي</w:t>
      </w:r>
    </w:p>
    <w:p>
      <w:r>
        <w:t>طريقة احتساب الراتب تعتمد على حساب قيمة الساعة الفعلية.</w:t>
      </w:r>
    </w:p>
    <w:p>
      <w:r>
        <w:t>السلف لا تتجاوز 30% من الراتب الأساسي.</w:t>
      </w:r>
    </w:p>
    <w:p>
      <w:r>
        <w:t>تسوية العهدة خلال 48 ساعة.</w:t>
      </w:r>
    </w:p>
    <w:p>
      <w:r>
        <w:t>أي صرف بدون فاتورة يتحمله المسؤول.</w:t>
      </w:r>
    </w:p>
    <w:p>
      <w:r>
        <w:br w:type="page"/>
      </w:r>
    </w:p>
    <w:p>
      <w:pPr>
        <w:pStyle w:val="Heading1"/>
      </w:pPr>
      <w:r>
        <w:t>الفصل السادس: نظام الموارد البشرية والتقييم</w:t>
      </w:r>
    </w:p>
    <w:p>
      <w:r>
        <w:t>فترة التجربة: 30–60 يوم.</w:t>
      </w:r>
    </w:p>
    <w:p>
      <w:r>
        <w:t>تقييم شهري وفق KPI:</w:t>
      </w:r>
    </w:p>
    <w:p>
      <w:r>
        <w:t>- الجودة.</w:t>
      </w:r>
    </w:p>
    <w:p>
      <w:r>
        <w:t>- الالتزام.</w:t>
      </w:r>
    </w:p>
    <w:p>
      <w:r>
        <w:t>- التعاون.</w:t>
      </w:r>
    </w:p>
    <w:p>
      <w:r>
        <w:t>- الإنتاجية.</w:t>
      </w:r>
    </w:p>
    <w:p>
      <w:r>
        <w:t>الترقية تعتمد على الأداء وليس الأقدمية فقط.</w:t>
      </w:r>
    </w:p>
    <w:p>
      <w:r>
        <w:br w:type="page"/>
      </w:r>
    </w:p>
    <w:p>
      <w:pPr>
        <w:pStyle w:val="Heading1"/>
      </w:pPr>
      <w:r>
        <w:t>الفصل السابع: نظام العقوبات والتحقيقات</w:t>
      </w:r>
    </w:p>
    <w:p>
      <w:r>
        <w:t>تدرج العقوبات:</w:t>
      </w:r>
    </w:p>
    <w:p>
      <w:r>
        <w:t>إنذار شفهي → إنذار خطي → خصم → إيقاف → فصل.</w:t>
      </w:r>
    </w:p>
    <w:p>
      <w:r>
        <w:t>يحق للموظف الاعتراض خلال 48 ساعة.</w:t>
      </w:r>
    </w:p>
    <w:p>
      <w:r>
        <w:br w:type="page"/>
      </w:r>
    </w:p>
    <w:p>
      <w:pPr>
        <w:pStyle w:val="Heading1"/>
      </w:pPr>
      <w:r>
        <w:t>الفصل الثامن: نظام الحوافز والمكافآت</w:t>
      </w:r>
    </w:p>
    <w:p>
      <w:r>
        <w:t>مكافأة الانضباط.</w:t>
      </w:r>
    </w:p>
    <w:p>
      <w:r>
        <w:t>مكافأة الجودة.</w:t>
      </w:r>
    </w:p>
    <w:p>
      <w:r>
        <w:t>مكافأة إنجاز المشاريع.</w:t>
      </w:r>
    </w:p>
    <w:p>
      <w:r>
        <w:t>مكافأة المبادرات الاستثنائية.</w:t>
      </w:r>
    </w:p>
    <w:p>
      <w:r>
        <w:br w:type="page"/>
      </w:r>
    </w:p>
    <w:p>
      <w:pPr>
        <w:pStyle w:val="Heading1"/>
      </w:pPr>
      <w:r>
        <w:t>الفصل التاسع: السلامة المهنية وإدارة المخاطر</w:t>
      </w:r>
    </w:p>
    <w:p>
      <w:r>
        <w:t>الالتزام بمعدات الوقاية.</w:t>
      </w:r>
    </w:p>
    <w:p>
      <w:r>
        <w:t>منع تشغيل أي ماكينة دون تدريب.</w:t>
      </w:r>
    </w:p>
    <w:p>
      <w:r>
        <w:t>توثيق الصيانة الدورية.</w:t>
      </w:r>
    </w:p>
    <w:p>
      <w:r>
        <w:t>تقرير حادث خلال 24 ساعة.</w:t>
      </w:r>
    </w:p>
    <w:p>
      <w:r>
        <w:br w:type="page"/>
      </w:r>
    </w:p>
    <w:p>
      <w:pPr>
        <w:pStyle w:val="Heading1"/>
      </w:pPr>
      <w:r>
        <w:t>الفصل العاشر: نظام العمال المؤقتين</w:t>
      </w:r>
    </w:p>
    <w:p>
      <w:r>
        <w:t>الأجر بالساعة أو بالمهمة.</w:t>
      </w:r>
    </w:p>
    <w:p>
      <w:r>
        <w:t>لا توجد إجازات مدفوعة.</w:t>
      </w:r>
    </w:p>
    <w:p>
      <w:r>
        <w:t>الالتزام الكامل بقواعد السلامة.</w:t>
      </w:r>
    </w:p>
    <w:p>
      <w:r>
        <w:br w:type="page"/>
      </w:r>
    </w:p>
    <w:p>
      <w:pPr>
        <w:pStyle w:val="Heading1"/>
      </w:pPr>
      <w:r>
        <w:t>الفصل الحادي عشر: الملاحق المعتمدة</w:t>
      </w:r>
    </w:p>
    <w:p>
      <w:r>
        <w:t>ملحق A: نموذج سلفة.</w:t>
      </w:r>
    </w:p>
    <w:p>
      <w:r>
        <w:t>ملحق B: نموذج عهدة مالية.</w:t>
      </w:r>
    </w:p>
    <w:p>
      <w:r>
        <w:t>ملحق C: نموذج تقييم أداء.</w:t>
      </w:r>
    </w:p>
    <w:p>
      <w:r>
        <w:t>ملحق D: نموذج إنذار إداري.</w:t>
      </w:r>
    </w:p>
    <w:p>
      <w:r>
        <w:t>ملحق E: سياسة السرية وتضارب المصالح.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