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97D" w:sz="8" w:space="6"/>
        </w:pBdr>
        <w:bidi/>
        <w:spacing w:before="500" w:after="240"/>
        <w:jc w:val="right"/>
      </w:pPr>
      <w:r>
        <w:rPr>
          <w:rFonts w:ascii="Arial" w:cs="Arial" w:eastAsia="Arial" w:hAnsi="Arial"/>
          <w:b/>
          <w:bCs/>
          <w:color w:val="1F497D"/>
          <w:sz w:val="40"/>
          <w:szCs w:val="40"/>
          <w:rtl/>
        </w:rPr>
        <w:t xml:space="preserve">الفصل الأول: نظرة عامة — الحاسوب وصناعة النفط والغاز</w:t>
      </w:r>
    </w:p>
    <w:p>
      <w:pPr>
        <w:spacing w:after="140"/>
      </w:pPr>
      <w:r>
        <w:t xml:space="preserve"/>
      </w:r>
    </w:p>
    <w:p>
      <w:pPr>
        <w:bidi/>
        <w:spacing w:before="360" w:after="180"/>
        <w:jc w:val="right"/>
      </w:pPr>
      <w:r>
        <w:rPr>
          <w:rFonts w:ascii="Arial" w:cs="Arial" w:eastAsia="Arial" w:hAnsi="Arial"/>
          <w:b/>
          <w:bCs/>
          <w:color w:val="2E75B6"/>
          <w:sz w:val="30"/>
          <w:szCs w:val="30"/>
          <w:rtl/>
        </w:rPr>
        <w:t xml:space="preserve">1-1  التطور التاريخي للحوسبة في القطاع النفطي</w:t>
      </w:r>
    </w:p>
    <w:p>
      <w:pPr>
        <w:bidi/>
        <w:spacing w:after="180" w:line="360"/>
        <w:jc w:val="right"/>
      </w:pPr>
      <w:r>
        <w:rPr>
          <w:rFonts w:ascii="Arial" w:cs="Arial" w:eastAsia="Arial" w:hAnsi="Arial"/>
          <w:sz w:val="24"/>
          <w:szCs w:val="24"/>
          <w:rtl/>
        </w:rPr>
        <w:t xml:space="preserve">شكّل دخول الحاسوب إلى صناعة النفط والغاز نقطة تحوّل جوهرية في مسار هذه الصناعة الحيوية؛ إذ لم يقتصر الأمر على رقمنة العمليات التقليدية، بل أعاد تشكيل منظومة اتخاذ القرار من جذورها. بدأت هذه الرحلة في خمسينيات القرن الماضي حين استُخدمت أولى الحاسبات الإلكترونية في معالجة البيانات الزلزالية Seismic Data التي كانت تستلزم سابقاً آلاف ساعات العمل اليدوي. وفي تلك الحقبة، كانت الحاسبات تشغل قاعات بأكملها وتستهلك طاقة هائلة مقابل قدرة حسابية تبدو هزيلة بمقاييس اليوم.</w:t>
      </w:r>
    </w:p>
    <w:p>
      <w:pPr>
        <w:bidi/>
        <w:spacing w:after="180" w:line="360"/>
        <w:jc w:val="right"/>
      </w:pPr>
      <w:r>
        <w:rPr>
          <w:rFonts w:ascii="Arial" w:cs="Arial" w:eastAsia="Arial" w:hAnsi="Arial"/>
          <w:sz w:val="24"/>
          <w:szCs w:val="24"/>
          <w:rtl/>
        </w:rPr>
        <w:t xml:space="preserve">مع انطلاق ثورة الدوائر المتكاملة Integrated Circuits في الستينيات، بدأت الحاسبات تجد طريقها إلى غرف التحكم في المصافي والمنشآت النفطية، فصارت مهمة مراقبة الضغوط ودرجات الحرارة ومعدلات التدفق تُسنَد تدريجياً إلى الأنظمة الآلية عوضاً عن الاعتماد الكلي على قراءات الأجهزة التناظرية Analog Instruments. وفي السبعينيات، مع انتشار المعالجات الدقيقة Microprocessors، ظهرت أجيال أولى من أنظمة التحكم الرقمية المباشر Direct Digital Control التي رسّخت مبدأ الحوسبة المركزية للعمليات.</w:t>
      </w:r>
    </w:p>
    <w:p>
      <w:pPr>
        <w:bidi/>
        <w:spacing w:after="180" w:line="360"/>
        <w:jc w:val="right"/>
      </w:pPr>
      <w:r>
        <w:rPr>
          <w:rFonts w:ascii="Arial" w:cs="Arial" w:eastAsia="Arial" w:hAnsi="Arial"/>
          <w:sz w:val="24"/>
          <w:szCs w:val="24"/>
          <w:rtl/>
        </w:rPr>
        <w:t xml:space="preserve">جاء العقدان الثامن والتاسع من القرن العشرين بتحولات أشمل وأعمق؛ فقد شهد ظهور أنظمة التحكم الموزعة Distributed Control Systems (DCS) التي وزّعت الذكاء الحسابي على مستوى الحقل بدلاً من تركيزه في وحدة مركزية واحدة. وفي الوقت ذاته، بدأت أنظمة SCADA في تأسيس بنيتها كمنظومة متكاملة لجمع البيانات والإشراف على العمليات عن بُعد، مما أتاح السيطرة على المنشآت المنتشرة جغرافياً من مواقع مركزية. ومنذ مطلع الألفية الثالثة حتى اليوم، دخلنا حقبة التحول الرقمي الشامل Digital Transformation حيث بات الذكاء الاصطناعي Artificial Intelligence وتحليل البيانات الضخمة Big Data Analytics وإنترنت الأشياء الصناعي Industrial Internet of Things (IIoT) ركائز أساسية في منظومة العمليات النفطية.</w:t>
      </w:r>
    </w:p>
    <w:p>
      <w:pPr>
        <w:bidi/>
        <w:spacing w:after="180" w:line="360"/>
        <w:jc w:val="right"/>
      </w:pPr>
      <w:r>
        <w:rPr>
          <w:rFonts w:ascii="Arial" w:cs="Arial" w:eastAsia="Arial" w:hAnsi="Arial"/>
          <w:sz w:val="24"/>
          <w:szCs w:val="24"/>
          <w:rtl/>
        </w:rPr>
        <w:t xml:space="preserve">وتُشير الإحصاءات إلى أن صناعة النفط والغاز العالمية تُنفق ما يتجاوز 30 مليار دولار سنوياً على تقنيات المعلومات والاتصالات، في حين أن نسبة رقمنة العمليات في شركات النفط الكبرى تخطّت 60% خلال العقد المنصرم. ويعكس هذان الرقمان حجم الإدراك المؤسسي لأهمية الحوسبة كعامل تنافسي استراتيجي وليس مجرد أداة مساندة.</w:t>
      </w:r>
    </w:p>
    <w:p>
      <w:pPr>
        <w:bidi/>
        <w:spacing w:before="360" w:after="180"/>
        <w:jc w:val="right"/>
      </w:pPr>
      <w:r>
        <w:rPr>
          <w:rFonts w:ascii="Arial" w:cs="Arial" w:eastAsia="Arial" w:hAnsi="Arial"/>
          <w:b/>
          <w:bCs/>
          <w:color w:val="2E75B6"/>
          <w:sz w:val="30"/>
          <w:szCs w:val="30"/>
          <w:rtl/>
        </w:rPr>
        <w:t xml:space="preserve">1-2  المجالات الرئيسية لتطبيق الحاسوب في صناعة النفط</w:t>
      </w:r>
    </w:p>
    <w:p>
      <w:pPr>
        <w:bidi/>
        <w:spacing w:after="180" w:line="360"/>
        <w:jc w:val="right"/>
      </w:pPr>
      <w:r>
        <w:rPr>
          <w:rFonts w:ascii="Arial" w:cs="Arial" w:eastAsia="Arial" w:hAnsi="Arial"/>
          <w:sz w:val="24"/>
          <w:szCs w:val="24"/>
          <w:rtl/>
        </w:rPr>
        <w:t xml:space="preserve">تتشعّب تطبيقات الحاسوب في صناعة النفط والغاز لتشمل دورة الحياة الكاملة للمشروع النفطي، من الاستكشاف الأولي حتى التسليم النهائي للمنتج. ويمكن تصنيف هذه التطبيقات وفق المراحل التشغيلية الرئيسية الآتية:</w:t>
      </w:r>
    </w:p>
    <w:p>
      <w:pPr>
        <w:pStyle w:val="ListParagraph"/>
        <w:numPr>
          <w:ilvl w:val="0"/>
          <w:numId w:val="2"/>
        </w:numPr>
        <w:bidi/>
        <w:spacing w:after="120" w:line="340"/>
        <w:jc w:val="right"/>
      </w:pPr>
      <w:r>
        <w:rPr>
          <w:rFonts w:ascii="Arial" w:cs="Arial" w:eastAsia="Arial" w:hAnsi="Arial"/>
          <w:sz w:val="24"/>
          <w:szCs w:val="24"/>
          <w:rtl/>
        </w:rPr>
        <w:t xml:space="preserve">مرحلة الاستكشاف والتقييم: تشمل معالجة البيانات الزلزالية Seismic Data Processing، ونمذجة المكامن الجيولوجية Reservoir Geological Modeling، وتفسير سجلات الآبار Well Log Interpretation، وتحليل عينات النواة Core Analysis.</w:t>
      </w:r>
    </w:p>
    <w:p>
      <w:pPr>
        <w:pStyle w:val="ListParagraph"/>
        <w:numPr>
          <w:ilvl w:val="0"/>
          <w:numId w:val="2"/>
        </w:numPr>
        <w:bidi/>
        <w:spacing w:after="120" w:line="340"/>
        <w:jc w:val="right"/>
      </w:pPr>
      <w:r>
        <w:rPr>
          <w:rFonts w:ascii="Arial" w:cs="Arial" w:eastAsia="Arial" w:hAnsi="Arial"/>
          <w:sz w:val="24"/>
          <w:szCs w:val="24"/>
          <w:rtl/>
        </w:rPr>
        <w:t xml:space="preserve">مرحلة الحفر والإنجاز Drilling &amp; Completion: تضم أنظمة المراقبة أثناء الحفر Measurement While Drilling (MWD) وأنظمة التوجيه الحفري Directional Drilling Control وبرامج تصميم برنامج الحفر Drilling Program Design وإدارة ضغوط المكمن.</w:t>
      </w:r>
    </w:p>
    <w:p>
      <w:pPr>
        <w:pStyle w:val="ListParagraph"/>
        <w:numPr>
          <w:ilvl w:val="0"/>
          <w:numId w:val="2"/>
        </w:numPr>
        <w:bidi/>
        <w:spacing w:after="120" w:line="340"/>
        <w:jc w:val="right"/>
      </w:pPr>
      <w:r>
        <w:rPr>
          <w:rFonts w:ascii="Arial" w:cs="Arial" w:eastAsia="Arial" w:hAnsi="Arial"/>
          <w:sz w:val="24"/>
          <w:szCs w:val="24"/>
          <w:rtl/>
        </w:rPr>
        <w:t xml:space="preserve">مرحلة الإنتاج والتشغيل Production &amp; Operations: وتمثّل الجزء الأكبر من تطبيقات الحاسوب، وتشمل أنظمة SCADA وDCS وأنظمة تحسين الإنتاج Production Optimization وإدارة الرفع الاصطناعي Artificial Lift Management.</w:t>
      </w:r>
    </w:p>
    <w:p>
      <w:pPr>
        <w:pStyle w:val="ListParagraph"/>
        <w:numPr>
          <w:ilvl w:val="0"/>
          <w:numId w:val="2"/>
        </w:numPr>
        <w:bidi/>
        <w:spacing w:after="120" w:line="340"/>
        <w:jc w:val="right"/>
      </w:pPr>
      <w:r>
        <w:rPr>
          <w:rFonts w:ascii="Arial" w:cs="Arial" w:eastAsia="Arial" w:hAnsi="Arial"/>
          <w:sz w:val="24"/>
          <w:szCs w:val="24"/>
          <w:rtl/>
        </w:rPr>
        <w:t xml:space="preserve">مرحلة معالجة ونقل النفط: تشمل أتمتة المصافي Refinery Automation وأنظمة التحكم في خطوط الأنابيب Pipeline SCADA وأنظمة قياس وتجميع الإنتاج Metering &amp; Allocation.</w:t>
      </w:r>
    </w:p>
    <w:p>
      <w:pPr>
        <w:pStyle w:val="ListParagraph"/>
        <w:numPr>
          <w:ilvl w:val="0"/>
          <w:numId w:val="2"/>
        </w:numPr>
        <w:bidi/>
        <w:spacing w:after="120" w:line="340"/>
        <w:jc w:val="right"/>
      </w:pPr>
      <w:r>
        <w:rPr>
          <w:rFonts w:ascii="Arial" w:cs="Arial" w:eastAsia="Arial" w:hAnsi="Arial"/>
          <w:sz w:val="24"/>
          <w:szCs w:val="24"/>
          <w:rtl/>
        </w:rPr>
        <w:t xml:space="preserve">المستوى المؤسسي: يشمل أنظمة ERP لإدارة الموارد، وأنظمة إدارة الصيانة CMMS، وأدوات تحليل الأداء والتقارير، وبرامج إدارة عقود الخدمات.</w:t>
      </w:r>
    </w:p>
    <w:p>
      <w:pPr>
        <w:bidi/>
        <w:spacing w:before="360" w:after="180"/>
        <w:jc w:val="right"/>
      </w:pPr>
      <w:r>
        <w:rPr>
          <w:rFonts w:ascii="Arial" w:cs="Arial" w:eastAsia="Arial" w:hAnsi="Arial"/>
          <w:b/>
          <w:bCs/>
          <w:color w:val="2E75B6"/>
          <w:sz w:val="30"/>
          <w:szCs w:val="30"/>
          <w:rtl/>
        </w:rPr>
        <w:t xml:space="preserve">1-3  الأثر الاقتصادي والتشغيلي للحوسبة في صناعة النفط</w:t>
      </w:r>
    </w:p>
    <w:p>
      <w:pPr>
        <w:bidi/>
        <w:spacing w:after="180" w:line="360"/>
        <w:jc w:val="right"/>
      </w:pPr>
      <w:r>
        <w:rPr>
          <w:rFonts w:ascii="Arial" w:cs="Arial" w:eastAsia="Arial" w:hAnsi="Arial"/>
          <w:sz w:val="24"/>
          <w:szCs w:val="24"/>
          <w:rtl/>
        </w:rPr>
        <w:t xml:space="preserve">تُشير الدراسات الصادرة عن كبرى شركات الاستشارات المتخصصة في القطاع النفطي إلى أن تطبيق تقنيات الحوسبة المتقدمة يمكن أن يرفع كفاءة الإنتاج بنسبة تتراوح بين 6% و10% في حقول النفط الناضجة Mature Fields، فضلاً عن خفض تكاليف الصيانة غير المجدولة Unplanned Maintenance بنسبة قد تصل إلى 25% بفضل تقنيات الصيانة التنبؤية القائمة على تحليل البيانات. كما تُسهم أنظمة المحاكاة في تقليص معدل الآبار غير المنتجة Dry Wells بنسبة تتجاوز 15% في المتوسط.</w:t>
      </w:r>
    </w:p>
    <w:p>
      <w:pPr>
        <w:bidi/>
        <w:spacing w:after="180" w:line="360"/>
        <w:jc w:val="right"/>
      </w:pPr>
      <w:r>
        <w:rPr>
          <w:rFonts w:ascii="Arial" w:cs="Arial" w:eastAsia="Arial" w:hAnsi="Arial"/>
          <w:sz w:val="24"/>
          <w:szCs w:val="24"/>
          <w:rtl/>
        </w:rPr>
        <w:t xml:space="preserve">وعلى صعيد السلامة الصناعية، أسهمت أنظمة التحكم الآلي في خفض معدلات الحوادث الصناعية بصورة ملموسة؛ إذ صار بمقدور الأنظمة الرقمية رصد الانحرافات عن المعايير التشغيلية في أجزاء من الثانية، واتخاذ إجراءات السلامة الاستباقية قبل تطور المشكلة إلى حادثة. وتُجمع الشركات النفطية الكبرى العاملة في حقول جنوب العراق على أن الاستثمار في الأتمتة وأنظمة الحوسبة يُحقق عائداً ملموساً يتجاوز تكاليف التطبيق في غضون سنوات قليلة.</w:t>
      </w:r>
    </w:p>
    <w:p>
      <w:pPr>
        <w:bidi/>
        <w:spacing w:after="180" w:line="360"/>
        <w:jc w:val="right"/>
      </w:pPr>
      <w:r>
        <w:rPr>
          <w:rFonts w:ascii="Arial" w:cs="Arial" w:eastAsia="Arial" w:hAnsi="Arial"/>
          <w:sz w:val="24"/>
          <w:szCs w:val="24"/>
          <w:rtl/>
        </w:rPr>
        <w:t xml:space="preserve">والجدير بالذكر أن حقل الرميلة، وهو أحد أكبر حقول النفط في العالم بطاقة إنتاجية تتجاوز مليوني برميل يومياً، يمثّل بيئة شاهدة على الدور المحوري لأنظمة التحكم الحاسوبية في إدارة منظومة إنتاجية بهذا الحجم والتعقيد. فإدارة آلاف الآبار والخطوط والمحطات المنتشرة على مساحات شاسعة تستلزم بنية حاسوبية متطورة ومتكاملة تعمل على مدار الساعة دون انقطاع.</w:t>
      </w:r>
    </w:p>
    <w:p>
      <w:pPr>
        <w:bidi/>
        <w:spacing w:before="360" w:after="180"/>
        <w:jc w:val="right"/>
      </w:pPr>
      <w:r>
        <w:rPr>
          <w:rFonts w:ascii="Arial" w:cs="Arial" w:eastAsia="Arial" w:hAnsi="Arial"/>
          <w:b/>
          <w:bCs/>
          <w:color w:val="2E75B6"/>
          <w:sz w:val="30"/>
          <w:szCs w:val="30"/>
          <w:rtl/>
        </w:rPr>
        <w:t xml:space="preserve">1-4  التحول الرقمي في صناعة النفط والغاز — المشهد الراهن</w:t>
      </w:r>
    </w:p>
    <w:p>
      <w:pPr>
        <w:bidi/>
        <w:spacing w:after="180" w:line="360"/>
        <w:jc w:val="right"/>
      </w:pPr>
      <w:r>
        <w:rPr>
          <w:rFonts w:ascii="Arial" w:cs="Arial" w:eastAsia="Arial" w:hAnsi="Arial"/>
          <w:sz w:val="24"/>
          <w:szCs w:val="24"/>
          <w:rtl/>
        </w:rPr>
        <w:t xml:space="preserve">باتت مصطلحات Digitalization وDigital Oilfield وConnected Field حاضرة في كل نقاش يتعلق بمستقبل صناعة النفط. ويقوم مفهوم الحقل الرقمي Digital Oilfield على دمج ثلاثة محاور رئيسية في منظومة متكاملة: أولها جمع البيانات في الوقت الحقيقي Real-time Data Acquisition من مختلف نقاط الإنتاج، وثانيها الاتصالات اللحظية Real-time Communications عبر شبكات الألياف الضوئية والاتصالات اللاسلكية، وثالثها مراكز العمليات المتكاملة Integrated Operations Centers التي توفر رؤية شاملة ولحظية لكامل منظومة الإنتاج.</w:t>
      </w:r>
    </w:p>
    <w:p>
      <w:pPr>
        <w:bidi/>
        <w:spacing w:after="180" w:line="360"/>
        <w:jc w:val="right"/>
      </w:pPr>
      <w:r>
        <w:rPr>
          <w:rFonts w:ascii="Arial" w:cs="Arial" w:eastAsia="Arial" w:hAnsi="Arial"/>
          <w:sz w:val="24"/>
          <w:szCs w:val="24"/>
          <w:rtl/>
        </w:rPr>
        <w:t xml:space="preserve">وعلى مستوى التقنيات الناشئة، تسير صناعة النفط بخطى متسارعة نحو اعتماد الحوسبة السحابية Cloud Computing لتخزين وتحليل كميات هائلة من البيانات التشغيلية، واستخدام تقنية التوأم الرقمي Digital Twin التي تُنشئ نسخة افتراضية كاملة من الحقل النفطي لمحاكاة السيناريوهات وتحسين القرارات قبل تطبيقها على أرض الواقع. كما يتسارع انتشار تقنيات الروبوتات والطائرات المسيّرة Drones في عمليات التفتيش والصيانة، مما يُقلّص مخاطر تعريض العنصر البشري لبيئات خطرة.</w:t>
      </w:r>
    </w:p>
    <w:p>
      <w:r>
        <w:br w:type="page"/>
      </w:r>
    </w:p>
    <w:p>
      <w:pPr>
        <w:pBdr>
          <w:bottom w:val="single" w:color="1F497D" w:sz="8" w:space="6"/>
        </w:pBdr>
        <w:bidi/>
        <w:spacing w:before="500" w:after="240"/>
        <w:jc w:val="right"/>
      </w:pPr>
      <w:r>
        <w:rPr>
          <w:rFonts w:ascii="Arial" w:cs="Arial" w:eastAsia="Arial" w:hAnsi="Arial"/>
          <w:b/>
          <w:bCs/>
          <w:color w:val="1F497D"/>
          <w:sz w:val="40"/>
          <w:szCs w:val="40"/>
          <w:rtl/>
        </w:rPr>
        <w:t xml:space="preserve">الفصل الثاني: أنظمة SCADA والتحكم بالعمليات الصناعية</w:t>
      </w:r>
    </w:p>
    <w:p>
      <w:pPr>
        <w:spacing w:after="140"/>
      </w:pPr>
      <w:r>
        <w:t xml:space="preserve"/>
      </w:r>
    </w:p>
    <w:p>
      <w:pPr>
        <w:bidi/>
        <w:spacing w:before="360" w:after="180"/>
        <w:jc w:val="right"/>
      </w:pPr>
      <w:r>
        <w:rPr>
          <w:rFonts w:ascii="Arial" w:cs="Arial" w:eastAsia="Arial" w:hAnsi="Arial"/>
          <w:b/>
          <w:bCs/>
          <w:color w:val="2E75B6"/>
          <w:sz w:val="30"/>
          <w:szCs w:val="30"/>
          <w:rtl/>
        </w:rPr>
        <w:t xml:space="preserve">2-1  تعريف SCADA وأهميته في الصناعة النفطية</w:t>
      </w:r>
    </w:p>
    <w:p>
      <w:pPr>
        <w:bidi/>
        <w:spacing w:after="180" w:line="360"/>
        <w:jc w:val="right"/>
      </w:pPr>
      <w:r>
        <w:rPr>
          <w:rFonts w:ascii="Arial" w:cs="Arial" w:eastAsia="Arial" w:hAnsi="Arial"/>
          <w:sz w:val="24"/>
          <w:szCs w:val="24"/>
          <w:rtl/>
        </w:rPr>
        <w:t xml:space="preserve">يُعدّ نظام SCADA — اختصاراً لـ Supervisory Control And Data Acquisition — من أكثر المصطلحات التقنية ترسّخاً في قاموس الصناعة النفطية الحديثة. وهو منظومة حاسوبية متكاملة تجمع بين وظيفتين محوريتين: الإشراف على العمليات الصناعية والتدخل فيها عبر أوامر التحكم Control Commands من جهة، وجمع البيانات من مختلف أجهزة القياس الميدانية Field Instruments وتخزينها وعرضها ومعالجتها من جهة أخرى. وما يميّز نظام SCADA عن غيره أنه قادر على العمل عبر مسافات جغرافية شاسعة، إذ يمكنه التواصل مع منشآت متفرقة على مساحات تمتد لعشرات أو مئات الكيلومترات من موقع مركزي واحد.</w:t>
      </w:r>
    </w:p>
    <w:p>
      <w:pPr>
        <w:bidi/>
        <w:spacing w:after="180" w:line="360"/>
        <w:jc w:val="right"/>
      </w:pPr>
      <w:r>
        <w:rPr>
          <w:rFonts w:ascii="Arial" w:cs="Arial" w:eastAsia="Arial" w:hAnsi="Arial"/>
          <w:sz w:val="24"/>
          <w:szCs w:val="24"/>
          <w:rtl/>
        </w:rPr>
        <w:t xml:space="preserve">وفي السياق النفطي تحديداً، يشمل نظام SCADA عادةً جوانب عدة متشعبة؛ فهو يراقب معدلات تدفق النفط والغاز والماء في الخطوط والآبار Flow Rates، ويرصد ضغوط المكامن والخطوط وأوعية الفصل Separators، ويُشرف على تشغيل وإيقاف المضخات والضواغط Compressors والصمامات Valves، ويُسجّل كافة الأحداث والتنبيهات Alarms لأغراض المراجعة والتحليل والامتثال التنظيمي.</w:t>
      </w:r>
    </w:p>
    <w:p>
      <w:pPr>
        <w:bidi/>
        <w:spacing w:after="180" w:line="360"/>
        <w:jc w:val="right"/>
      </w:pPr>
      <w:r>
        <w:rPr>
          <w:rFonts w:ascii="Arial" w:cs="Arial" w:eastAsia="Arial" w:hAnsi="Arial"/>
          <w:sz w:val="24"/>
          <w:szCs w:val="24"/>
          <w:rtl/>
        </w:rPr>
        <w:t xml:space="preserve">وقد تطورت أنظمة SCADA عبر أربعة أجيال متتالية: الجيل الأول اعتمد على الأجهزة الدائرة Monolithic Hardware والاتصالات التناظرية، والجيل الثاني أدخل الحاسبات الشخصية في غرف التحكم، أما الجيل الثالث فانتقل إلى البنى الموزعة Distributed Architecture عبر شبكات LAN المحلية. وجاء الجيل الرابع الراهن ليعتمد البنى السحابية والاتصالات IP وبروتوكولات الإنترنت الصناعي، مما يفتح آفاقاً واسعة لدمج تقنيات الذكاء الاصطناعي وتحليل البيانات الضخمة.</w:t>
      </w:r>
    </w:p>
    <w:p>
      <w:pPr>
        <w:bidi/>
        <w:spacing w:before="360" w:after="180"/>
        <w:jc w:val="right"/>
      </w:pPr>
      <w:r>
        <w:rPr>
          <w:rFonts w:ascii="Arial" w:cs="Arial" w:eastAsia="Arial" w:hAnsi="Arial"/>
          <w:b/>
          <w:bCs/>
          <w:color w:val="2E75B6"/>
          <w:sz w:val="30"/>
          <w:szCs w:val="30"/>
          <w:rtl/>
        </w:rPr>
        <w:t xml:space="preserve">2-2  بنية نظام SCADA — الطبقات والمكونات</w:t>
      </w:r>
    </w:p>
    <w:p>
      <w:pPr>
        <w:bidi/>
        <w:spacing w:after="180" w:line="360"/>
        <w:jc w:val="right"/>
      </w:pPr>
      <w:r>
        <w:rPr>
          <w:rFonts w:ascii="Arial" w:cs="Arial" w:eastAsia="Arial" w:hAnsi="Arial"/>
          <w:sz w:val="24"/>
          <w:szCs w:val="24"/>
          <w:rtl/>
        </w:rPr>
        <w:t xml:space="preserve">يتألف نظام SCADA من ثلاث طبقات رئيسية تعمل بتكامل وتناسق لضمان سير العمليات بكفاءة وأمان:</w:t>
      </w:r>
    </w:p>
    <w:p>
      <w:pPr>
        <w:bidi/>
        <w:spacing w:before="240" w:after="120"/>
        <w:jc w:val="right"/>
      </w:pPr>
      <w:r>
        <w:rPr>
          <w:rFonts w:ascii="Arial" w:cs="Arial" w:eastAsia="Arial" w:hAnsi="Arial"/>
          <w:b/>
          <w:bCs/>
          <w:color w:val="2F5496"/>
          <w:sz w:val="26"/>
          <w:szCs w:val="26"/>
          <w:rtl/>
        </w:rPr>
        <w:t xml:space="preserve">أ. الطبقة الميدانية — Field Level</w:t>
      </w:r>
    </w:p>
    <w:p>
      <w:pPr>
        <w:bidi/>
        <w:spacing w:after="180" w:line="360"/>
        <w:jc w:val="right"/>
      </w:pPr>
      <w:r>
        <w:rPr>
          <w:rFonts w:ascii="Arial" w:cs="Arial" w:eastAsia="Arial" w:hAnsi="Arial"/>
          <w:sz w:val="24"/>
          <w:szCs w:val="24"/>
          <w:rtl/>
        </w:rPr>
        <w:t xml:space="preserve">تمثّل هذه الطبقة نقطة التماس المباشر مع العمليات الفيزيائية في الحقل، وتشمل جميع أجهزة القياس والتحكم المنتشرة ميدانياً؛ من أجهزة استشعار الضغط Pressure Transmitters وقياس درجات الحرارة Temperature Sensors وقياس معدلات التدفق Flow Meters، إلى المشغّلات الكهروهوائية Pneumatic Actuators والصمامات الكهروهيدروليكية وأنظمة الإغلاق في حالات الطوارئ Emergency Shutdown Systems (ESD). وتُجمع هذه المعطيات وتُرسَل عبر وحدات التحكم الطرفية Remote Terminal Units (RTU) أو وحدات التحكم المنطقية القابلة للبرمجة Programmable Logic Controllers (PLC) التي تعمل بصورة مستقلة حتى في حالات انقطاع الاتصال مع المركز.</w:t>
      </w:r>
    </w:p>
    <w:p>
      <w:pPr>
        <w:bidi/>
        <w:spacing w:before="240" w:after="120"/>
        <w:jc w:val="right"/>
      </w:pPr>
      <w:r>
        <w:rPr>
          <w:rFonts w:ascii="Arial" w:cs="Arial" w:eastAsia="Arial" w:hAnsi="Arial"/>
          <w:b/>
          <w:bCs/>
          <w:color w:val="2F5496"/>
          <w:sz w:val="26"/>
          <w:szCs w:val="26"/>
          <w:rtl/>
        </w:rPr>
        <w:t xml:space="preserve">ب. طبقة الاتصالات — Communication Layer</w:t>
      </w:r>
    </w:p>
    <w:p>
      <w:pPr>
        <w:bidi/>
        <w:spacing w:after="180" w:line="360"/>
        <w:jc w:val="right"/>
      </w:pPr>
      <w:r>
        <w:rPr>
          <w:rFonts w:ascii="Arial" w:cs="Arial" w:eastAsia="Arial" w:hAnsi="Arial"/>
          <w:sz w:val="24"/>
          <w:szCs w:val="24"/>
          <w:rtl/>
        </w:rPr>
        <w:t xml:space="preserve">تُشكّل شبكة الاتصالات العصب الرابط بين الطبقة الميدانية ومركز التحكم. وتعتمد أنظمة SCADA الحديثة على تقنيات اتصال متعددة تُختار بحسب طبيعة البيئة والمتطلبات التشغيلية: شبكات الألياف الضوئية Fiber Optic Networks للاتصالات عالية السرعة وطويلة المدى، وشبكات الراديو الصناعية Industrial Radio Networks للمناطق النائية، وتقنية Wireless HART والبروتوكولات الصناعية المعيارية كـ Modbus وDNP3 وOPC UA. وتُعدّ موثوقية شبكة الاتصالات عاملاً بالغ الأهمية، لذلك تعتمد معظم الأنظمة الكبرى على مسارات اتصال احتياطية Redundant Communication Paths لضمان الاستمرارية.</w:t>
      </w:r>
    </w:p>
    <w:p>
      <w:pPr>
        <w:bidi/>
        <w:spacing w:before="240" w:after="120"/>
        <w:jc w:val="right"/>
      </w:pPr>
      <w:r>
        <w:rPr>
          <w:rFonts w:ascii="Arial" w:cs="Arial" w:eastAsia="Arial" w:hAnsi="Arial"/>
          <w:b/>
          <w:bCs/>
          <w:color w:val="2F5496"/>
          <w:sz w:val="26"/>
          <w:szCs w:val="26"/>
          <w:rtl/>
        </w:rPr>
        <w:t xml:space="preserve">ج. طبقة الإشراف والتحكم — Supervisory Level</w:t>
      </w:r>
    </w:p>
    <w:p>
      <w:pPr>
        <w:bidi/>
        <w:spacing w:after="180" w:line="360"/>
        <w:jc w:val="right"/>
      </w:pPr>
      <w:r>
        <w:rPr>
          <w:rFonts w:ascii="Arial" w:cs="Arial" w:eastAsia="Arial" w:hAnsi="Arial"/>
          <w:sz w:val="24"/>
          <w:szCs w:val="24"/>
          <w:rtl/>
        </w:rPr>
        <w:t xml:space="preserve">تتمثّل في الخوادم المركزية SCADA Servers ومحطات واجهة المشغّل Human Machine Interface (HMI) التي تعرض البيانات بصورة رسومية مفهومة تتيح للمشغّل مراقبة المنظومة كاملة ومعالجة التنبيهات والتدخل في العمليات عند الحاجة. وتحتوي هذه الطبقة أيضاً على قواعد بيانات تاريخية Historian Databases تُسجّل قيم المعلمات التشغيلية على مدار الساعة لأغراض التحليل والتقارير ومراجعة الحوادث. ومن أبرز أنظمة الـ Historian المستخدمة عالمياً نظام OSIsoft PI System الذي يُعدّ المرجع الذهبي في هذا المجال.</w:t>
      </w:r>
    </w:p>
    <w:p>
      <w:pPr>
        <w:bidi/>
        <w:spacing w:before="360" w:after="180"/>
        <w:jc w:val="right"/>
      </w:pPr>
      <w:r>
        <w:rPr>
          <w:rFonts w:ascii="Arial" w:cs="Arial" w:eastAsia="Arial" w:hAnsi="Arial"/>
          <w:b/>
          <w:bCs/>
          <w:color w:val="2E75B6"/>
          <w:sz w:val="30"/>
          <w:szCs w:val="30"/>
          <w:rtl/>
        </w:rPr>
        <w:t xml:space="preserve">2-3  أنظمة التحكم الموزعة DCS في المنشآت النفطية</w:t>
      </w:r>
    </w:p>
    <w:p>
      <w:pPr>
        <w:bidi/>
        <w:spacing w:after="180" w:line="360"/>
        <w:jc w:val="right"/>
      </w:pPr>
      <w:r>
        <w:rPr>
          <w:rFonts w:ascii="Arial" w:cs="Arial" w:eastAsia="Arial" w:hAnsi="Arial"/>
          <w:sz w:val="24"/>
          <w:szCs w:val="24"/>
          <w:rtl/>
        </w:rPr>
        <w:t xml:space="preserve">إلى جانب أنظمة SCADA، تحتل أنظمة التحكم الموزعة Distributed Control Systems (DCS) مكانة محورية في منشآت معالجة النفط والغاز. وتختلف DCS عن SCADA في أنها مصمّمة أساساً للتحكم المستمر Continuous Process Control في العمليات المتكاملة داخل منشأة واحدة أو مجمّع صناعي متجاور، مع أوقات استجابة أسرع وموثوقية أعلى مقارنةً بالأنظمة التقليدية. وقد اقتربت الحدود الفاصلة بين SCADA وDCS بشكل كبير في الجيل الحديث من الأنظمة.</w:t>
      </w:r>
    </w:p>
    <w:p>
      <w:pPr>
        <w:bidi/>
        <w:spacing w:after="180" w:line="360"/>
        <w:jc w:val="right"/>
      </w:pPr>
      <w:r>
        <w:rPr>
          <w:rFonts w:ascii="Arial" w:cs="Arial" w:eastAsia="Arial" w:hAnsi="Arial"/>
          <w:sz w:val="24"/>
          <w:szCs w:val="24"/>
          <w:rtl/>
        </w:rPr>
        <w:t xml:space="preserve">ومن أبرز خصائص أنظمة DCS أنها توزّع الذكاء الحسابي على مستوى وحدات التحكم المنتشرة في المحطات Group Controllers بدلاً من تركيزه في معالج مركزي واحد، مما يعني أن عطل أي وحدة لا يُوقف عمل المنظومة بأكملها. كما تتميّز بقدرتها على تنفيذ خوارزميات تحكم معقدة كالتحكم التنبؤي النموذجي Model Predictive Control (MPC) وخوارزميات التحسين المتعدد الأهداف Multi-variable Optimization بصورة لحظية.</w:t>
      </w:r>
    </w:p>
    <w:p>
      <w:pPr>
        <w:bidi/>
        <w:spacing w:after="180" w:line="360"/>
        <w:jc w:val="right"/>
      </w:pPr>
      <w:r>
        <w:rPr>
          <w:rFonts w:ascii="Arial" w:cs="Arial" w:eastAsia="Arial" w:hAnsi="Arial"/>
          <w:sz w:val="24"/>
          <w:szCs w:val="24"/>
          <w:rtl/>
        </w:rPr>
        <w:t xml:space="preserve">وتعتمد كبرى شركات النفط أنظمة DCS من شركات متخصصة عالمية من بينها Emerson بنظامها DeltaV وHoneywell بنظام Experion PKS وABB بنظام System 800xA وYokogawa بنظام CENTUM VP وSchneider Electric بنظام EcoStruxure. وتتباين هذه الأنظمة في تفاصيلها التقنية لكنها تشترك في الفلسفة التصميمية الأساسية القائمة على التوزيع والتكرار Redundancy وقابلية التوسع Scalability.</w:t>
      </w:r>
    </w:p>
    <w:p>
      <w:pPr>
        <w:bidi/>
        <w:spacing w:before="360" w:after="180"/>
        <w:jc w:val="right"/>
      </w:pPr>
      <w:r>
        <w:rPr>
          <w:rFonts w:ascii="Arial" w:cs="Arial" w:eastAsia="Arial" w:hAnsi="Arial"/>
          <w:b/>
          <w:bCs/>
          <w:color w:val="2E75B6"/>
          <w:sz w:val="30"/>
          <w:szCs w:val="30"/>
          <w:rtl/>
        </w:rPr>
        <w:t xml:space="preserve">2-4  مقارنة بين SCADA وDCS وPLC</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BBBBBB" w:sz="1"/>
              <w:left w:val="single" w:color="BBBBBB" w:sz="1"/>
              <w:bottom w:val="single" w:color="BBBBBB" w:sz="1"/>
              <w:right w:val="single" w:color="BBBBBB" w:sz="1"/>
            </w:tcBorders>
            <w:shd w:fill="1F497D" w:val="clear"/>
            <w:tcMar>
              <w:top w:type="dxa" w:w="80"/>
              <w:left w:type="dxa" w:w="140"/>
              <w:bottom w:type="dxa" w:w="80"/>
              <w:right w:type="dxa" w:w="140"/>
            </w:tcMar>
          </w:tcPr>
          <w:p>
            <w:pPr>
              <w:bidi/>
              <w:jc w:val="center"/>
            </w:pPr>
            <w:r>
              <w:rPr>
                <w:rFonts w:ascii="Arial" w:cs="Arial" w:eastAsia="Arial" w:hAnsi="Arial"/>
                <w:b/>
                <w:bCs/>
                <w:color w:val="FFFFFF"/>
                <w:sz w:val="20"/>
                <w:szCs w:val="20"/>
                <w:rtl/>
              </w:rPr>
              <w:t xml:space="preserve">المعيار</w:t>
            </w:r>
          </w:p>
        </w:tc>
        <w:tc>
          <w:tcPr>
            <w:tcW w:type="dxa" w:w="2257"/>
            <w:tcBorders>
              <w:top w:val="single" w:color="BBBBBB" w:sz="1"/>
              <w:left w:val="single" w:color="BBBBBB" w:sz="1"/>
              <w:bottom w:val="single" w:color="BBBBBB" w:sz="1"/>
              <w:right w:val="single" w:color="BBBBBB" w:sz="1"/>
            </w:tcBorders>
            <w:shd w:fill="1F497D" w:val="clear"/>
            <w:tcMar>
              <w:top w:type="dxa" w:w="80"/>
              <w:left w:type="dxa" w:w="140"/>
              <w:bottom w:type="dxa" w:w="80"/>
              <w:right w:type="dxa" w:w="140"/>
            </w:tcMar>
          </w:tcPr>
          <w:p>
            <w:pPr>
              <w:bidi/>
              <w:jc w:val="center"/>
            </w:pPr>
            <w:r>
              <w:rPr>
                <w:rFonts w:ascii="Arial" w:cs="Arial" w:eastAsia="Arial" w:hAnsi="Arial"/>
                <w:b/>
                <w:bCs/>
                <w:color w:val="FFFFFF"/>
                <w:sz w:val="20"/>
                <w:szCs w:val="20"/>
                <w:rtl/>
              </w:rPr>
              <w:t xml:space="preserve">SCADA</w:t>
            </w:r>
          </w:p>
        </w:tc>
        <w:tc>
          <w:tcPr>
            <w:tcW w:type="dxa" w:w="2257"/>
            <w:tcBorders>
              <w:top w:val="single" w:color="BBBBBB" w:sz="1"/>
              <w:left w:val="single" w:color="BBBBBB" w:sz="1"/>
              <w:bottom w:val="single" w:color="BBBBBB" w:sz="1"/>
              <w:right w:val="single" w:color="BBBBBB" w:sz="1"/>
            </w:tcBorders>
            <w:shd w:fill="1F497D" w:val="clear"/>
            <w:tcMar>
              <w:top w:type="dxa" w:w="80"/>
              <w:left w:type="dxa" w:w="140"/>
              <w:bottom w:type="dxa" w:w="80"/>
              <w:right w:type="dxa" w:w="140"/>
            </w:tcMar>
          </w:tcPr>
          <w:p>
            <w:pPr>
              <w:bidi/>
              <w:jc w:val="center"/>
            </w:pPr>
            <w:r>
              <w:rPr>
                <w:rFonts w:ascii="Arial" w:cs="Arial" w:eastAsia="Arial" w:hAnsi="Arial"/>
                <w:b/>
                <w:bCs/>
                <w:color w:val="FFFFFF"/>
                <w:sz w:val="20"/>
                <w:szCs w:val="20"/>
                <w:rtl/>
              </w:rPr>
              <w:t xml:space="preserve">DCS</w:t>
            </w:r>
          </w:p>
        </w:tc>
        <w:tc>
          <w:tcPr>
            <w:tcW w:type="dxa" w:w="2256"/>
            <w:tcBorders>
              <w:top w:val="single" w:color="BBBBBB" w:sz="1"/>
              <w:left w:val="single" w:color="BBBBBB" w:sz="1"/>
              <w:bottom w:val="single" w:color="BBBBBB" w:sz="1"/>
              <w:right w:val="single" w:color="BBBBBB" w:sz="1"/>
            </w:tcBorders>
            <w:shd w:fill="1F497D" w:val="clear"/>
            <w:tcMar>
              <w:top w:type="dxa" w:w="80"/>
              <w:left w:type="dxa" w:w="140"/>
              <w:bottom w:type="dxa" w:w="80"/>
              <w:right w:type="dxa" w:w="140"/>
            </w:tcMar>
          </w:tcPr>
          <w:p>
            <w:pPr>
              <w:bidi/>
              <w:jc w:val="center"/>
            </w:pPr>
            <w:r>
              <w:rPr>
                <w:rFonts w:ascii="Arial" w:cs="Arial" w:eastAsia="Arial" w:hAnsi="Arial"/>
                <w:b/>
                <w:bCs/>
                <w:color w:val="FFFFFF"/>
                <w:sz w:val="20"/>
                <w:szCs w:val="20"/>
                <w:rtl/>
              </w:rPr>
              <w:t xml:space="preserve">PLC</w:t>
            </w:r>
          </w:p>
        </w:tc>
      </w:tr>
      <w:tr>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نطاق التطبيق</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جغرافي واسع — حقول وخطوط</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منشأة مجمّعة واحدة</w:t>
            </w:r>
          </w:p>
        </w:tc>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آلة أو عملية محددة</w:t>
            </w:r>
          </w:p>
        </w:tc>
      </w:tr>
      <w:tr>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سرعة الاستجابة</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ثانية أو أكثر</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أجزاء من الثانية</w:t>
            </w:r>
          </w:p>
        </w:tc>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ميلي ثانية</w:t>
            </w:r>
          </w:p>
        </w:tc>
      </w:tr>
      <w:tr>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نمط التحكم</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إشرافي Supervisory</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مستمر Continuous</w:t>
            </w:r>
          </w:p>
        </w:tc>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منطقي Discrete</w:t>
            </w:r>
          </w:p>
        </w:tc>
      </w:tr>
      <w:tr>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حجم البيانات</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ضخم جداً — آلاف النقاط</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كبير — مئات النقاط</w:t>
            </w:r>
          </w:p>
        </w:tc>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محدود — عشرات النقاط</w:t>
            </w:r>
          </w:p>
        </w:tc>
      </w:tr>
      <w:tr>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التطبيق النفطي الأمثل</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مراقبة الحقول والخطوط</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محطات الضخ والفصل</w:t>
            </w:r>
          </w:p>
        </w:tc>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التحكم بالمضخات والصمامات</w:t>
            </w:r>
          </w:p>
        </w:tc>
      </w:tr>
      <w:tr>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تكلفة التطبيق</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عالية</w:t>
            </w:r>
          </w:p>
        </w:tc>
        <w:tc>
          <w:tcPr>
            <w:tcW w:type="dxa" w:w="2257"/>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عالية جداً</w:t>
            </w:r>
          </w:p>
        </w:tc>
        <w:tc>
          <w:tcPr>
            <w:tcW w:type="dxa" w:w="2256"/>
            <w:tcBorders>
              <w:top w:val="single" w:color="BBBBBB" w:sz="1"/>
              <w:left w:val="single" w:color="BBBBBB" w:sz="1"/>
              <w:bottom w:val="single" w:color="BBBBBB" w:sz="1"/>
              <w:right w:val="single" w:color="BBBBBB" w:sz="1"/>
            </w:tcBorders>
            <w:tcMar>
              <w:top w:type="dxa" w:w="80"/>
              <w:left w:type="dxa" w:w="140"/>
              <w:bottom w:type="dxa" w:w="80"/>
              <w:right w:type="dxa" w:w="140"/>
            </w:tcMar>
          </w:tcPr>
          <w:p>
            <w:pPr>
              <w:bidi/>
              <w:jc w:val="center"/>
            </w:pPr>
            <w:r>
              <w:rPr>
                <w:rFonts w:ascii="Arial" w:cs="Arial" w:eastAsia="Arial" w:hAnsi="Arial"/>
                <w:sz w:val="20"/>
                <w:szCs w:val="20"/>
                <w:rtl/>
              </w:rPr>
              <w:t xml:space="preserve">متوسطة</w:t>
            </w:r>
          </w:p>
        </w:tc>
      </w:tr>
      <w:tr>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مستوى التكامل</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يتكامل مع ERP وDCS</w:t>
            </w:r>
          </w:p>
        </w:tc>
        <w:tc>
          <w:tcPr>
            <w:tcW w:type="dxa" w:w="2257"/>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يتكامل مع SCADA وMES</w:t>
            </w:r>
          </w:p>
        </w:tc>
        <w:tc>
          <w:tcPr>
            <w:tcW w:type="dxa" w:w="2256"/>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bidi/>
              <w:jc w:val="center"/>
            </w:pPr>
            <w:r>
              <w:rPr>
                <w:rFonts w:ascii="Arial" w:cs="Arial" w:eastAsia="Arial" w:hAnsi="Arial"/>
                <w:sz w:val="20"/>
                <w:szCs w:val="20"/>
                <w:rtl/>
              </w:rPr>
              <w:t xml:space="preserve">مستقل أو مدمج مع DCS</w:t>
            </w:r>
          </w:p>
        </w:tc>
      </w:tr>
    </w:tbl>
    <w:p>
      <w:pPr>
        <w:spacing w:after="140"/>
      </w:pPr>
      <w:r>
        <w:t xml:space="preserve"/>
      </w:r>
    </w:p>
    <w:p>
      <w:pPr>
        <w:bidi/>
        <w:spacing w:before="360" w:after="180"/>
        <w:jc w:val="right"/>
      </w:pPr>
      <w:r>
        <w:rPr>
          <w:rFonts w:ascii="Arial" w:cs="Arial" w:eastAsia="Arial" w:hAnsi="Arial"/>
          <w:b/>
          <w:bCs/>
          <w:color w:val="2E75B6"/>
          <w:sz w:val="30"/>
          <w:szCs w:val="30"/>
          <w:rtl/>
        </w:rPr>
        <w:t xml:space="preserve">2-5  نظام DeltaV من Emerson — دراسة حالة تطبيقية</w:t>
      </w:r>
    </w:p>
    <w:p>
      <w:pPr>
        <w:bidi/>
        <w:spacing w:after="180" w:line="360"/>
        <w:jc w:val="right"/>
      </w:pPr>
      <w:r>
        <w:rPr>
          <w:rFonts w:ascii="Arial" w:cs="Arial" w:eastAsia="Arial" w:hAnsi="Arial"/>
          <w:sz w:val="24"/>
          <w:szCs w:val="24"/>
          <w:rtl/>
        </w:rPr>
        <w:t xml:space="preserve">يُعدّ نظام DeltaV Digital Automation System الصادر عن شركة Emerson Process Management نموذجاً بارزاً لأنظمة DCS الحديثة المستخدمة على نطاق واسع في منشآت النفط والغاز حول العالم. صمّمت Emerson هذا النظام ليجمع بين سهولة التهيئة والتشغيل وبين المرونة والموثوقية اللازمتين للبيئات الصناعية الحرجة. ويعتمد نظام DeltaV مبدأ Plug-and-Play للعتاد الصناعي بما يُسهّل توسيع النظام وإضافة وحدات جديدة دون الحاجة لإيقاف التشغيل.</w:t>
      </w:r>
    </w:p>
    <w:p>
      <w:pPr>
        <w:bidi/>
        <w:spacing w:after="180" w:line="360"/>
        <w:jc w:val="right"/>
      </w:pPr>
      <w:r>
        <w:rPr>
          <w:rFonts w:ascii="Arial" w:cs="Arial" w:eastAsia="Arial" w:hAnsi="Arial"/>
          <w:sz w:val="24"/>
          <w:szCs w:val="24"/>
          <w:rtl/>
        </w:rPr>
        <w:t xml:space="preserve">يقوم نظام DeltaV على بنية تحكم موزّعة تشمل وحدات تحكم Controllers عالية الكفاءة توزَّع على المنشأة لتوفير التحكم المحلي، ومحطات عمل Workstations تُوفّر واجهة المشغّل والمهندس، وشبكة تحكم مخصصة Control Network توفّر الاتصال السريع الموثوق بين مكونات النظام. كما يدعم النظام مبدأ الازدواجية الكاملة Redundancy على مستوى وحدات التحكم وشبكات الاتصال ومزوّدات الطاقة.</w:t>
      </w:r>
    </w:p>
    <w:p>
      <w:pPr>
        <w:bidi/>
        <w:spacing w:after="180" w:line="360"/>
        <w:jc w:val="right"/>
      </w:pPr>
      <w:r>
        <w:rPr>
          <w:rFonts w:ascii="Arial" w:cs="Arial" w:eastAsia="Arial" w:hAnsi="Arial"/>
          <w:sz w:val="24"/>
          <w:szCs w:val="24"/>
          <w:rtl/>
        </w:rPr>
        <w:t xml:space="preserve">وتتميّز أدوات DeltaV الهندسية بشمولها مجموعة متكاملة من التطبيقات؛ إذ يوفّر Control Studio بيئة رسومية لتصميم وبرمجة حلقات التحكم Control Loops وفق المعيار الدولي IEC 61131-3، ويُتيح DeltaV Operate إنشاء شاشات تشغيلية مخصصة HMI عالية الوضوح، فيما يُسجّل DeltaV Continuous Historian بيانات العمليات بدقة عالية لأغراض التحليل والتقارير. وتتوج هذه المنظومة وحدة DeltaV Neural للتحكم الذكي المبني على الشبكات العصبية، ووحدة DeltaV Predict للصيانة التنبؤية القائمة على تحليل البيانات.</w:t>
      </w:r>
    </w:p>
    <w:p>
      <w:pPr>
        <w:bidi/>
        <w:spacing w:before="360" w:after="180"/>
        <w:jc w:val="right"/>
      </w:pPr>
      <w:r>
        <w:rPr>
          <w:rFonts w:ascii="Arial" w:cs="Arial" w:eastAsia="Arial" w:hAnsi="Arial"/>
          <w:b/>
          <w:bCs/>
          <w:color w:val="2E75B6"/>
          <w:sz w:val="30"/>
          <w:szCs w:val="30"/>
          <w:rtl/>
        </w:rPr>
        <w:t xml:space="preserve">2-6  بروتوكولات الاتصال الصناعية — Industrial Communication Protocols</w:t>
      </w:r>
    </w:p>
    <w:p>
      <w:pPr>
        <w:bidi/>
        <w:spacing w:after="180" w:line="360"/>
        <w:jc w:val="right"/>
      </w:pPr>
      <w:r>
        <w:rPr>
          <w:rFonts w:ascii="Arial" w:cs="Arial" w:eastAsia="Arial" w:hAnsi="Arial"/>
          <w:sz w:val="24"/>
          <w:szCs w:val="24"/>
          <w:rtl/>
        </w:rPr>
        <w:t xml:space="preserve">يعتمد تكامل مكونات منظومة التحكم الصناعي على بروتوكولات اتصال معيارية متخصصة طُوِّرت لتلبية متطلبات البيئات الصناعية القاسية من حيث الموثوقية والاستجابة الآنية. ويُعدّ بروتوكول Modbus من أقدم هذه البروتوكولات وأوسعها انتشاراً، إذ يُستخدم لربط أجهزة PLC والمحركات والمعدات الميدانية ببعضها ومع الأنظمة المشرفة. أما بروتوكول HART فيتميّز بقدرته على نقل البيانات الرقمية عبر نفس الأسلاك المستخدمة للإشارات التناظرية 4-20 mA الكلاسيكية.</w:t>
      </w:r>
    </w:p>
    <w:p>
      <w:pPr>
        <w:bidi/>
        <w:spacing w:after="180" w:line="360"/>
        <w:jc w:val="right"/>
      </w:pPr>
      <w:r>
        <w:rPr>
          <w:rFonts w:ascii="Arial" w:cs="Arial" w:eastAsia="Arial" w:hAnsi="Arial"/>
          <w:sz w:val="24"/>
          <w:szCs w:val="24"/>
          <w:rtl/>
        </w:rPr>
        <w:t xml:space="preserve">وفي البيئات التي تتطلب أوقات استجابة فائقة السرعة كتطبيقات الحماية Safety Instrumented Systems (SIS)، يُستخدم بروتوكول Profibus DP الذي يُوفّر اتصالاً حتمياً Deterministic بمعدلات حتى 12 Mbps. أما المعيار الأحدث OPC UA فيمثّل ثورة في عالم الاتصالات الصناعية إذ يوفّر إطاراً آمناً وموحّداً لتبادل البيانات بين مختلف الأجهزة والأنظمة بصرف النظر عن المصنّع، وهو ما يُشكّل ركيزة أساسية في بنية إنترنت الأشياء الصناعي IIoT.</w:t>
      </w:r>
    </w:p>
    <w:p>
      <w:pPr>
        <w:bidi/>
        <w:spacing w:before="360" w:after="180"/>
        <w:jc w:val="right"/>
      </w:pPr>
      <w:r>
        <w:rPr>
          <w:rFonts w:ascii="Arial" w:cs="Arial" w:eastAsia="Arial" w:hAnsi="Arial"/>
          <w:b/>
          <w:bCs/>
          <w:color w:val="2E75B6"/>
          <w:sz w:val="30"/>
          <w:szCs w:val="30"/>
          <w:rtl/>
        </w:rPr>
        <w:t xml:space="preserve">2-7  الأمن السيبراني الصناعي — ICS Cybersecurity</w:t>
      </w:r>
    </w:p>
    <w:p>
      <w:pPr>
        <w:bidi/>
        <w:spacing w:after="180" w:line="360"/>
        <w:jc w:val="right"/>
      </w:pPr>
      <w:r>
        <w:rPr>
          <w:rFonts w:ascii="Arial" w:cs="Arial" w:eastAsia="Arial" w:hAnsi="Arial"/>
          <w:sz w:val="24"/>
          <w:szCs w:val="24"/>
          <w:rtl/>
        </w:rPr>
        <w:t xml:space="preserve">مع تزايد ربط أنظمة SCADA وDCS بشبكات المؤسسة وبالإنترنت عبر متطلبات التحول الرقمي، برزت مخاطر الأمن السيبراني الصناعي Industrial Cybersecurity تهديداً حقيقياً لا يمكن تجاهله. وقد كشفت حوادث بارزة عالمياً أن الأنظمة الصناعية يمكن أن تكون هدفاً لهجمات إلكترونية متطورة تستهدف تعطيل العمليات أو التلاعب بها أو سرقة البيانات الاستراتيجية.</w:t>
      </w:r>
    </w:p>
    <w:p>
      <w:pPr>
        <w:bidi/>
        <w:spacing w:after="180" w:line="360"/>
        <w:jc w:val="right"/>
      </w:pPr>
      <w:r>
        <w:rPr>
          <w:rFonts w:ascii="Arial" w:cs="Arial" w:eastAsia="Arial" w:hAnsi="Arial"/>
          <w:sz w:val="24"/>
          <w:szCs w:val="24"/>
          <w:rtl/>
        </w:rPr>
        <w:t xml:space="preserve">تشمل الإجراءات الأمنية المعتمدة في صناعة النفط: تقسيم الشبكة إلى مناطق أمنية Network Segmentation وفق نموذج Purdue الهرمي، وتطبيق مفهوم الشبكة المعزولة Air Gap بين الشبكات الصناعية والإدارية، واستخدام جدران الحماية الصناعية Industrial Firewalls وأنظمة الكشف عن التسلل IDS المتخصصة في بروتوكولات OT/ICS. كما يستلزم الأمر تحديثاً دورياً للبرمجيات Patch Management وتدريب الكوادر البشرية على الوعي الأمني Security Awareness.</w:t>
      </w:r>
    </w:p>
    <w:p>
      <w:pPr>
        <w:bidi/>
        <w:spacing w:after="180" w:line="360"/>
        <w:jc w:val="right"/>
      </w:pPr>
      <w:r>
        <w:rPr>
          <w:rFonts w:ascii="Arial" w:cs="Arial" w:eastAsia="Arial" w:hAnsi="Arial"/>
          <w:sz w:val="24"/>
          <w:szCs w:val="24"/>
          <w:rtl/>
        </w:rPr>
        <w:t xml:space="preserve">وتُحدّد المعايير الدولية المتخصصة كـ IEC 62443 متطلبات الأمن الشاملة لشبكات التحكم الصناعية ومكوناتها، وتُصنّف الأنظمة ضمن مستويات أمنية Security Levels تتراوح بين SL-1 و SL-4 بحسب درجة الحساسية والخطورة المحتملة. وتلتزم الشركات النفطية الكبرى اليوم بإجراء تقييم دوري للمخاطر Risk Assessment وتدريبات محاكاة للاستجابة للحوادث Incident Response Drills.</w:t>
      </w:r>
    </w:p>
    <w:p>
      <w:r>
        <w:br w:type="page"/>
      </w:r>
    </w:p>
    <w:p>
      <w:pPr>
        <w:pBdr>
          <w:bottom w:val="single" w:color="1F497D" w:sz="8" w:space="6"/>
        </w:pBdr>
        <w:bidi/>
        <w:spacing w:before="500" w:after="240"/>
        <w:jc w:val="right"/>
      </w:pPr>
      <w:r>
        <w:rPr>
          <w:rFonts w:ascii="Arial" w:cs="Arial" w:eastAsia="Arial" w:hAnsi="Arial"/>
          <w:b/>
          <w:bCs/>
          <w:color w:val="1F497D"/>
          <w:sz w:val="40"/>
          <w:szCs w:val="40"/>
          <w:rtl/>
        </w:rPr>
        <w:t xml:space="preserve">الفصل الثالث: المحاكاة والنمذجة الجيولوجية في قطاع النفط</w:t>
      </w:r>
    </w:p>
    <w:p>
      <w:pPr>
        <w:spacing w:after="140"/>
      </w:pPr>
      <w:r>
        <w:t xml:space="preserve"/>
      </w:r>
    </w:p>
    <w:p>
      <w:pPr>
        <w:bidi/>
        <w:spacing w:before="360" w:after="180"/>
        <w:jc w:val="right"/>
      </w:pPr>
      <w:r>
        <w:rPr>
          <w:rFonts w:ascii="Arial" w:cs="Arial" w:eastAsia="Arial" w:hAnsi="Arial"/>
          <w:b/>
          <w:bCs/>
          <w:color w:val="2E75B6"/>
          <w:sz w:val="30"/>
          <w:szCs w:val="30"/>
          <w:rtl/>
        </w:rPr>
        <w:t xml:space="preserve">3-1  معالجة البيانات الزلزالية — Seismic Data Processing</w:t>
      </w:r>
    </w:p>
    <w:p>
      <w:pPr>
        <w:bidi/>
        <w:spacing w:after="180" w:line="360"/>
        <w:jc w:val="right"/>
      </w:pPr>
      <w:r>
        <w:rPr>
          <w:rFonts w:ascii="Arial" w:cs="Arial" w:eastAsia="Arial" w:hAnsi="Arial"/>
          <w:sz w:val="24"/>
          <w:szCs w:val="24"/>
          <w:rtl/>
        </w:rPr>
        <w:t xml:space="preserve">تُمثّل البيانات الزلزالية Seismic Data الركيزة الأساسية التي يرتكز عليها الاستكشاف النفطي الحديث. وتعتمد هذه التقنية على توليد موجات صوتية صناعية — إما عبر مصادر انفجارية Explosive Sources أو شاحنات الاهتزاز Vibroseis — تنتشر في باطن الأرض وتنعكس عن حدود الطبقات الصخرية المختلفة، ليُرصد صداها عبر شبكة من أجهزة الاستشعار الجيوفيزيائية Geophones على السطح. يجري بعد ذلك تحليل هذه الانعكاسات حاسوبياً لاستنتاج الصورة الجيولوجية للطبقات تحت السطحية واستهداف التراكمات النفطية المحتملة.</w:t>
      </w:r>
    </w:p>
    <w:p>
      <w:pPr>
        <w:bidi/>
        <w:spacing w:after="180" w:line="360"/>
        <w:jc w:val="right"/>
      </w:pPr>
      <w:r>
        <w:rPr>
          <w:rFonts w:ascii="Arial" w:cs="Arial" w:eastAsia="Arial" w:hAnsi="Arial"/>
          <w:sz w:val="24"/>
          <w:szCs w:val="24"/>
          <w:rtl/>
        </w:rPr>
        <w:t xml:space="preserve">تمر معالجة البيانات الزلزالية بمراحل حاسوبية متسلسلة ومعقدة تبدأ بتهيئة البيانات الخام Raw Data و تصفيتها من مصادر الضوضاء المختلفة Noise Attenuation، تليها مرحلة تصحيح الانجراف NMO Correction لتعديل أوقات وصول الانعكاسات تبعاً للمسافة الأفقية، ثم مرحلة التركيب Stack لجمع البيانات من مسارات متعددة لتحسين نسبة الإشارة إلى الضوضاء Signal-to-Noise Ratio، وصولاً إلى مرحلة الترحيل الزلزالي Seismic Migration التي تُعيد وضع الانعكاسات في مواقعها الهندسية الصحيحة.</w:t>
      </w:r>
    </w:p>
    <w:p>
      <w:pPr>
        <w:bidi/>
        <w:spacing w:after="180" w:line="360"/>
        <w:jc w:val="right"/>
      </w:pPr>
      <w:r>
        <w:rPr>
          <w:rFonts w:ascii="Arial" w:cs="Arial" w:eastAsia="Arial" w:hAnsi="Arial"/>
          <w:sz w:val="24"/>
          <w:szCs w:val="24"/>
          <w:rtl/>
        </w:rPr>
        <w:t xml:space="preserve">وتُعدّ مرحلة الترحيل Seismic Migration من أكثر المراحل استهلاكاً للقدرة الحاسوبية؛ فكمية العمليات الحسابية المطلوبة تتناسب طردياً مع مكعّب حجم البيانات. وكانت هذه المرحلة تستغرق أسابيع قبل عقود بينما صارت اليوم تُنجَز في ساعات أو أيام قليلة بفضل تقنيات المعالجة المتوازية High-Performance Computing (HPC) وبطاقات المعالجة الرسومية GPU التي أثبتت فعاليتها الاستثنائية في هذا النوع من الحسابات الكثيفة. وقد تطورت خوارزميات الترحيل من النماذج الثنائية الأبعاد 2D إلى النماذج الثلاثية الأبعاد Full 3D PSDM وصولاً إلى تقنيات Full Waveform Inversion (FWI) التي توفّر مستوى استثنائياً من التفاصيل الجيولوجية.</w:t>
      </w:r>
    </w:p>
    <w:p>
      <w:pPr>
        <w:bidi/>
        <w:spacing w:before="360" w:after="180"/>
        <w:jc w:val="right"/>
      </w:pPr>
      <w:r>
        <w:rPr>
          <w:rFonts w:ascii="Arial" w:cs="Arial" w:eastAsia="Arial" w:hAnsi="Arial"/>
          <w:b/>
          <w:bCs/>
          <w:color w:val="2E75B6"/>
          <w:sz w:val="30"/>
          <w:szCs w:val="30"/>
          <w:rtl/>
        </w:rPr>
        <w:t xml:space="preserve">3-2  محاكاة المكامن — Reservoir Simulation</w:t>
      </w:r>
    </w:p>
    <w:p>
      <w:pPr>
        <w:bidi/>
        <w:spacing w:after="180" w:line="360"/>
        <w:jc w:val="right"/>
      </w:pPr>
      <w:r>
        <w:rPr>
          <w:rFonts w:ascii="Arial" w:cs="Arial" w:eastAsia="Arial" w:hAnsi="Arial"/>
          <w:sz w:val="24"/>
          <w:szCs w:val="24"/>
          <w:rtl/>
        </w:rPr>
        <w:t xml:space="preserve">تُعدّ محاكاة المكامن Reservoir Simulation أداة لا غنى عنها في إدارة حقول النفط والغاز، وهي عملية حاسوبية تهدف إلى بناء نموذج رقمي يحاكي السلوك الديناميكي للمكمن عبر الزمن. يعتمد هذا النموذج على منظومة معادلات تفاضلية جزئية Partial Differential Equations تصف حركة النفط والغاز والماء في المسامات الصخرية تحت تأثير فروق الضغط والمحاكاة الحرارية، مع الأخذ بعين الاعتبار الخصائص الفيزيائية الكيميائية للسوائل وخصائص الصخر الحاضن.</w:t>
      </w:r>
    </w:p>
    <w:p>
      <w:pPr>
        <w:bidi/>
        <w:spacing w:after="180" w:line="360"/>
        <w:jc w:val="right"/>
      </w:pPr>
      <w:r>
        <w:rPr>
          <w:rFonts w:ascii="Arial" w:cs="Arial" w:eastAsia="Arial" w:hAnsi="Arial"/>
          <w:sz w:val="24"/>
          <w:szCs w:val="24"/>
          <w:rtl/>
        </w:rPr>
        <w:t xml:space="preserve">يبدأ بناء نموذج المحاكاة بتقسيم حجم المكمن إلى شبكة منتظمة من الخلايا Simulation Grid تتراوح أحجامها من بضعة أمتار إلى مئات الأمتار بحسب دقة النموذج المطلوبة والبيانات المتاحة، ويصل عدد هذه الخلايا في الحقول الكبرى إلى عشرات الملايين. يُسنَد لكل خلية قيم خصائصها الصخرية من مسامية Porosity ونفاذية Permeability وتشبّع بالسوائل Fluid Saturation مستخرجة من النماذج الجيولوجية الإحصائية. ثم تُحلّ منظومة المعادلات الرياضية عددياً بطريقة الفروق المحدودة Finite Difference Method أو طريقة الحجوم المحدودة Finite Volume Method.</w:t>
      </w:r>
    </w:p>
    <w:p>
      <w:pPr>
        <w:bidi/>
        <w:spacing w:after="180" w:line="360"/>
        <w:jc w:val="right"/>
      </w:pPr>
      <w:r>
        <w:rPr>
          <w:rFonts w:ascii="Arial" w:cs="Arial" w:eastAsia="Arial" w:hAnsi="Arial"/>
          <w:sz w:val="24"/>
          <w:szCs w:val="24"/>
          <w:rtl/>
        </w:rPr>
        <w:t xml:space="preserve">وتُستخدم نتائج المحاكاة في التنبؤ بمسارات الإنتاج Production Profiles عبر فترات زمنية مستقبلية تمتد لعقود، وتقييم فعالية مشاريع الاسترداد المعزّز Enhanced Oil Recovery (EOR) كحقن الماء Water Flooding وحقن الغاز Gas Injection وحقن المواد الكيميائية Chemical EOR قبل تطبيقها الفعلي وتحمّل تكاليفها الضخمة. كما تُسهم المحاكاة في تحسين مواقع الآبار الجديدة Well Placement وتصميم استراتيجيات الإنتاج الأمثل وتقدير الاحتياطيات المؤكدة Proved Reserves بالدقة المطلوبة للتقارير المالية الرسمية.</w:t>
      </w:r>
    </w:p>
    <w:p>
      <w:pPr>
        <w:bidi/>
        <w:spacing w:before="360" w:after="180"/>
        <w:jc w:val="right"/>
      </w:pPr>
      <w:r>
        <w:rPr>
          <w:rFonts w:ascii="Arial" w:cs="Arial" w:eastAsia="Arial" w:hAnsi="Arial"/>
          <w:b/>
          <w:bCs/>
          <w:color w:val="2E75B6"/>
          <w:sz w:val="30"/>
          <w:szCs w:val="30"/>
          <w:rtl/>
        </w:rPr>
        <w:t xml:space="preserve">3-3  النمذجة الجيولوجية الإحصائية — Geostatistical Modeling</w:t>
      </w:r>
    </w:p>
    <w:p>
      <w:pPr>
        <w:bidi/>
        <w:spacing w:after="180" w:line="360"/>
        <w:jc w:val="right"/>
      </w:pPr>
      <w:r>
        <w:rPr>
          <w:rFonts w:ascii="Arial" w:cs="Arial" w:eastAsia="Arial" w:hAnsi="Arial"/>
          <w:sz w:val="24"/>
          <w:szCs w:val="24"/>
          <w:rtl/>
        </w:rPr>
        <w:t xml:space="preserve">تُمثّل النمذجة الجيولوجية الإحصائية الجسر الحاسوبي الذي يربط بين البيانات المتفرقة المقتنصة من الآبار والمسوحات الزلزالية من جهة، وبين النموذج المستمر الشامل للمكمن اللازم للمحاكاة من جهة أخرى. وتعتمد هذه النمذجة على تقنيات إحصائية متقدمة لتوزيع خصائص الصخر والسوائل بين نقاط البيانات المعروفة Interpolation مع الأخذ بعين الاعتبار الاتجاهية الجيولوجية للتكوينات Geological Anisotropy.</w:t>
      </w:r>
    </w:p>
    <w:p>
      <w:pPr>
        <w:bidi/>
        <w:spacing w:after="180" w:line="360"/>
        <w:jc w:val="right"/>
      </w:pPr>
      <w:r>
        <w:rPr>
          <w:rFonts w:ascii="Arial" w:cs="Arial" w:eastAsia="Arial" w:hAnsi="Arial"/>
          <w:sz w:val="24"/>
          <w:szCs w:val="24"/>
          <w:rtl/>
        </w:rPr>
        <w:t xml:space="preserve">من أبرز الأساليب الإحصائية المستخدمة: تقنية Kriging وهي أسلوب تشابك إحصائي مثالي Optimal Interpolation يُحقق أفضل تقدير غير متحيّز للخصائص الصخرية، وتقنية Sequential Gaussian Simulation (SGS) التي تُولّد نسخاً متعددة من النموذج Stochastic Realizations تعكس عدم اليقين الجيولوجي Geological Uncertainty وتُستخدم لاحقاً في تحليل حساسية نتائج المحاكاة لهذا الغموض.</w:t>
      </w:r>
    </w:p>
    <w:p>
      <w:pPr>
        <w:bidi/>
        <w:spacing w:after="180" w:line="360"/>
        <w:jc w:val="right"/>
      </w:pPr>
      <w:r>
        <w:rPr>
          <w:rFonts w:ascii="Arial" w:cs="Arial" w:eastAsia="Arial" w:hAnsi="Arial"/>
          <w:sz w:val="24"/>
          <w:szCs w:val="24"/>
          <w:rtl/>
        </w:rPr>
        <w:t xml:space="preserve">وقد دفع الذكاء الاصطناعي بهذا المجال خطوات واسعة؛ إذ صارت خوارزميات Deep Learning تُستخدم في التنبؤ بالخصائص الصخرية من بيانات السيزميك Seismic-to-Well Tie بدقة تفوق الأساليب الإحصائية التقليدية، كما تُطبَّق شبكات GAN الجيّلة التوليدية Generative Adversarial Networks في توليد نماذج جيولوجية واقعية من حيث الأنماط المكانية تستوعب التعقيد الجيولوجي الفعلي بصورة أفضل.</w:t>
      </w:r>
    </w:p>
    <w:p>
      <w:pPr>
        <w:bidi/>
        <w:spacing w:before="360" w:after="180"/>
        <w:jc w:val="right"/>
      </w:pPr>
      <w:r>
        <w:rPr>
          <w:rFonts w:ascii="Arial" w:cs="Arial" w:eastAsia="Arial" w:hAnsi="Arial"/>
          <w:b/>
          <w:bCs/>
          <w:color w:val="2E75B6"/>
          <w:sz w:val="30"/>
          <w:szCs w:val="30"/>
          <w:rtl/>
        </w:rPr>
        <w:t xml:space="preserve">3-4  البرامج المتخصصة في النمذجة والمحاكاة</w:t>
      </w:r>
    </w:p>
    <w:p>
      <w:pPr>
        <w:bidi/>
        <w:spacing w:before="240" w:after="120"/>
        <w:jc w:val="right"/>
      </w:pPr>
      <w:r>
        <w:rPr>
          <w:rFonts w:ascii="Arial" w:cs="Arial" w:eastAsia="Arial" w:hAnsi="Arial"/>
          <w:b/>
          <w:bCs/>
          <w:color w:val="2F5496"/>
          <w:sz w:val="26"/>
          <w:szCs w:val="26"/>
          <w:rtl/>
        </w:rPr>
        <w:t xml:space="preserve">برنامج Petrel من SLB (Schlumberger)</w:t>
      </w:r>
    </w:p>
    <w:p>
      <w:pPr>
        <w:bidi/>
        <w:spacing w:after="180" w:line="360"/>
        <w:jc w:val="right"/>
      </w:pPr>
      <w:r>
        <w:rPr>
          <w:rFonts w:ascii="Arial" w:cs="Arial" w:eastAsia="Arial" w:hAnsi="Arial"/>
          <w:sz w:val="24"/>
          <w:szCs w:val="24"/>
          <w:rtl/>
        </w:rPr>
        <w:t xml:space="preserve">يُعدّ Petrel من أكثر منصات النمذجة الجيولوجية وتقييم المكامن شيوعاً واستخداماً على المستوى العالمي. يوفّر Petrel بيئة متكاملة تغطي دورة العمل كاملة؛ من تفسير البيانات الزلزالية Seismic Interpretation وبناء النماذج الجيولوجية Geological Modeling وحساب الاحتياطيات Volumetrics وحتى التكامل مع برامج محاكاة المكامن. يتميّز بواجهة مرئية ثلاثية الأبعاد تفاعلية تُمكّن الجيولوجيين والمهندسين من التعامل مع النموذج بصورة حدسية مباشرة. وقد انتقل Petrel إلى نموذج SaaS السحابي عبر منصة OSDU مما يُتيح التعاون الفوري بين الفرق الموزعة جغرافياً.</w:t>
      </w:r>
    </w:p>
    <w:p>
      <w:pPr>
        <w:bidi/>
        <w:spacing w:before="240" w:after="120"/>
        <w:jc w:val="right"/>
      </w:pPr>
      <w:r>
        <w:rPr>
          <w:rFonts w:ascii="Arial" w:cs="Arial" w:eastAsia="Arial" w:hAnsi="Arial"/>
          <w:b/>
          <w:bCs/>
          <w:color w:val="2F5496"/>
          <w:sz w:val="26"/>
          <w:szCs w:val="26"/>
          <w:rtl/>
        </w:rPr>
        <w:t xml:space="preserve">برنامج Eclipse من SLB</w:t>
      </w:r>
    </w:p>
    <w:p>
      <w:pPr>
        <w:bidi/>
        <w:spacing w:after="180" w:line="360"/>
        <w:jc w:val="right"/>
      </w:pPr>
      <w:r>
        <w:rPr>
          <w:rFonts w:ascii="Arial" w:cs="Arial" w:eastAsia="Arial" w:hAnsi="Arial"/>
          <w:sz w:val="24"/>
          <w:szCs w:val="24"/>
          <w:rtl/>
        </w:rPr>
        <w:t xml:space="preserve">يحتل Eclipse مكانة رائدة في ميدان محاكاة المكامن منذ عقود، وهو يدعم محاكاة الغاز الجاف Black Oil Simulation ومحاكاة التركيب الكيميائي Compositional Simulation للغاز الطبيعي المسال ومحاكاة المزدوجة النفاذية Dual Porosity/Permeability للمكامن المتشققة. استُخدم Eclipse تاريخياً في معظم الحقول الكبرى في الشرق الأوسط، ويُشكّل الإطار المرجعي لمقارنة أدوات المحاكاة الأخرى. وقد شهد في سنواته الأخيرة دمج وحدات GPU-Accelerated Computing لتسريع عمليات الحل الرياضي بشكل كبير.</w:t>
      </w:r>
    </w:p>
    <w:p>
      <w:pPr>
        <w:bidi/>
        <w:spacing w:before="240" w:after="120"/>
        <w:jc w:val="right"/>
      </w:pPr>
      <w:r>
        <w:rPr>
          <w:rFonts w:ascii="Arial" w:cs="Arial" w:eastAsia="Arial" w:hAnsi="Arial"/>
          <w:b/>
          <w:bCs/>
          <w:color w:val="2F5496"/>
          <w:sz w:val="26"/>
          <w:szCs w:val="26"/>
          <w:rtl/>
        </w:rPr>
        <w:t xml:space="preserve">برامج CMG وtNavigator وOther Simulators</w:t>
      </w:r>
    </w:p>
    <w:p>
      <w:pPr>
        <w:bidi/>
        <w:spacing w:after="180" w:line="360"/>
        <w:jc w:val="right"/>
      </w:pPr>
      <w:r>
        <w:rPr>
          <w:rFonts w:ascii="Arial" w:cs="Arial" w:eastAsia="Arial" w:hAnsi="Arial"/>
          <w:sz w:val="24"/>
          <w:szCs w:val="24"/>
          <w:rtl/>
        </w:rPr>
        <w:t xml:space="preserve">تعمل شركات تطوير برمجيات أخرى في هذا المجال وتُقدّم حلولاً منافسة؛ تبرز من بينها شركة Computer Modeling Group (CMG) الكندية بحزمة IMEX لمحاكاة النفط الأسود وGEM لمحاكاة التركيب الكيميائي وSTARS لمحاكاة حقن البخار وتقنيات EOR الحرارية. أما برنامج tNavigator من Rock Flow Dynamics فقد نجح في اكتساح حصة سوقية ملموسة بفضل معالجته الموازية الاستثنائية التي تجعل النموذج المليوني الخلية يُحلّ في ساعة بدلاً من أيام.</w:t>
      </w:r>
    </w:p>
    <w:p>
      <w:pPr>
        <w:bidi/>
        <w:spacing w:before="360" w:after="180"/>
        <w:jc w:val="right"/>
      </w:pPr>
      <w:r>
        <w:rPr>
          <w:rFonts w:ascii="Arial" w:cs="Arial" w:eastAsia="Arial" w:hAnsi="Arial"/>
          <w:b/>
          <w:bCs/>
          <w:color w:val="2E75B6"/>
          <w:sz w:val="30"/>
          <w:szCs w:val="30"/>
          <w:rtl/>
        </w:rPr>
        <w:t xml:space="preserve">3-5  تفسير سجلات الآبار — Well Log Interpretation</w:t>
      </w:r>
    </w:p>
    <w:p>
      <w:pPr>
        <w:bidi/>
        <w:spacing w:after="180" w:line="360"/>
        <w:jc w:val="right"/>
      </w:pPr>
      <w:r>
        <w:rPr>
          <w:rFonts w:ascii="Arial" w:cs="Arial" w:eastAsia="Arial" w:hAnsi="Arial"/>
          <w:sz w:val="24"/>
          <w:szCs w:val="24"/>
          <w:rtl/>
        </w:rPr>
        <w:t xml:space="preserve">سجلات الآبار Well Logs هي قياسات مستمرة تُؤخَذ في باطن البئر أثناء الحفر Logging While Drilling (LWD) أو بعده عبر خفض أجهزة استشعار متخصصة Wire-line Logging. وتشمل هذه القياسات خصائص كهربائية كالمقاومية الكهربائية Resistivity Log، وخصائص صوتية كالسرعة الصوتية Sonic Log، وقياسات إشعاعية كالأشعة الغاماوية Gamma Ray Log والكثافة Density Log والنيوتروني Neutron Log.</w:t>
      </w:r>
    </w:p>
    <w:p>
      <w:pPr>
        <w:bidi/>
        <w:spacing w:after="180" w:line="360"/>
        <w:jc w:val="right"/>
      </w:pPr>
      <w:r>
        <w:rPr>
          <w:rFonts w:ascii="Arial" w:cs="Arial" w:eastAsia="Arial" w:hAnsi="Arial"/>
          <w:sz w:val="24"/>
          <w:szCs w:val="24"/>
          <w:rtl/>
        </w:rPr>
        <w:t xml:space="preserve">تُحلَّل هذه السجلات باستخدام برامج متخصصة كـ Techlog من SLB وInteractive Petrophysics (IP) من Halliburton لاستخراج المعلمات البترو-فيزيائية الجوهرية: المسامية الإجمالية Total Porosity والمسامية الفعّالة Effective Porosity وتشبّع النفط Oil Saturation ومنطقة الانتقال Transition Zone وتحديد حدود السوائل Oil-Water Contact. وتُغذّي هذه النتائج لاحقاً النماذج الجيولوجية وتُستخدم في تقدير الاحتياطيات الأولية Original Oil In Place (OOIP).</w:t>
      </w:r>
    </w:p>
    <w:p>
      <w:pPr>
        <w:bidi/>
        <w:spacing w:after="180" w:line="360"/>
        <w:jc w:val="right"/>
      </w:pPr>
      <w:r>
        <w:rPr>
          <w:rFonts w:ascii="Arial" w:cs="Arial" w:eastAsia="Arial" w:hAnsi="Arial"/>
          <w:sz w:val="24"/>
          <w:szCs w:val="24"/>
          <w:rtl/>
        </w:rPr>
        <w:t xml:space="preserve">وقد شهد هذا المجال قفزة نوعية بارزة مع دمج خوارزميات التعلم الآلي Machine Learning في برامج التفسير؛ إذ بات بالإمكان تدريب نماذج رقمية على آبار مفسَّرة مسبقاً لتتنبأ بالخصائص البترو-فيزيائية في الآبار الجديدة بدقة أعلى وفي وقت أقصر مقارنةً بالتحليل اليدوي التقليدي. كما تُستخدم الشبكات العصبية في تقليل تأثير البيئة المحيطة Borehole Environmental Corrections على دقة القراءات.</w:t>
      </w:r>
    </w:p>
    <w:p>
      <w:r>
        <w:br w:type="page"/>
      </w:r>
    </w:p>
    <w:p>
      <w:pPr>
        <w:pBdr>
          <w:bottom w:val="single" w:color="1F497D" w:sz="8" w:space="6"/>
        </w:pBdr>
        <w:bidi/>
        <w:spacing w:before="500" w:after="240"/>
        <w:jc w:val="right"/>
      </w:pPr>
      <w:r>
        <w:rPr>
          <w:rFonts w:ascii="Arial" w:cs="Arial" w:eastAsia="Arial" w:hAnsi="Arial"/>
          <w:b/>
          <w:bCs/>
          <w:color w:val="1F497D"/>
          <w:sz w:val="40"/>
          <w:szCs w:val="40"/>
          <w:rtl/>
        </w:rPr>
        <w:t xml:space="preserve">الفصل الرابع: الذكاء الاصطناعي وتحليل البيانات في صناعة النفط</w:t>
      </w:r>
    </w:p>
    <w:p>
      <w:pPr>
        <w:spacing w:after="140"/>
      </w:pPr>
      <w:r>
        <w:t xml:space="preserve"/>
      </w:r>
    </w:p>
    <w:p>
      <w:pPr>
        <w:bidi/>
        <w:spacing w:before="360" w:after="180"/>
        <w:jc w:val="right"/>
      </w:pPr>
      <w:r>
        <w:rPr>
          <w:rFonts w:ascii="Arial" w:cs="Arial" w:eastAsia="Arial" w:hAnsi="Arial"/>
          <w:b/>
          <w:bCs/>
          <w:color w:val="2E75B6"/>
          <w:sz w:val="30"/>
          <w:szCs w:val="30"/>
          <w:rtl/>
        </w:rPr>
        <w:t xml:space="preserve">4-1  الذكاء الاصطناعي في صناعة النفط — نظرة شاملة</w:t>
      </w:r>
    </w:p>
    <w:p>
      <w:pPr>
        <w:bidi/>
        <w:spacing w:after="180" w:line="360"/>
        <w:jc w:val="right"/>
      </w:pPr>
      <w:r>
        <w:rPr>
          <w:rFonts w:ascii="Arial" w:cs="Arial" w:eastAsia="Arial" w:hAnsi="Arial"/>
          <w:sz w:val="24"/>
          <w:szCs w:val="24"/>
          <w:rtl/>
        </w:rPr>
        <w:t xml:space="preserve">يمثّل الذكاء الاصطناعي Artificial Intelligence (AI) والتعلم الآلي Machine Learning (ML) موجة التحول التقني الأعمق التي تشهدها صناعة النفط والغاز في العقد الثالث من القرن الحادي والعشرين. وتمتد تطبيقات هذه التقنيات لتطال جميع مراحل دورة الحياة النفطية؛ من تحسين استهداف الاستكشاف الجيولوجي وتحديد المناطق الواعدة، إلى تعظيم معدلات الإنتاج في المرحلة التشغيلية، وصولاً إلى تحسين سلاسل الإمداد وتوقعات الطلب في المرحلة التجارية.</w:t>
      </w:r>
    </w:p>
    <w:p>
      <w:pPr>
        <w:bidi/>
        <w:spacing w:after="180" w:line="360"/>
        <w:jc w:val="right"/>
      </w:pPr>
      <w:r>
        <w:rPr>
          <w:rFonts w:ascii="Arial" w:cs="Arial" w:eastAsia="Arial" w:hAnsi="Arial"/>
          <w:sz w:val="24"/>
          <w:szCs w:val="24"/>
          <w:rtl/>
        </w:rPr>
        <w:t xml:space="preserve">وتُشير تقديرات شركة McKinsey الاستشارية إلى أن تطبيق الذكاء الاصطناعي في صناعة النفط والغاز يمكن أن يُحقق وفرات تشغيلية تتراوح بين 10 و25 مليار دولار سنوياً على مستوى القطاع العالمي، وذلك من خلال خفض أوقات التوقف Downtime وتحسين كفاءة الإنتاج وتقليص تكاليف الصيانة غير المجدولة. ويُصنَّف هذا الرقم في سياقه الصحيح حين يُقارَن بإجمالي إيرادات القطاع التي تبلغ تريليونات الدولارات سنوياً، مما يُجعل عائد الاستثمار في الذكاء الاصطناعي مرتفعاً بصورة استثنائية.</w:t>
      </w:r>
    </w:p>
    <w:p>
      <w:pPr>
        <w:bidi/>
        <w:spacing w:after="180" w:line="360"/>
        <w:jc w:val="right"/>
      </w:pPr>
      <w:r>
        <w:rPr>
          <w:rFonts w:ascii="Arial" w:cs="Arial" w:eastAsia="Arial" w:hAnsi="Arial"/>
          <w:sz w:val="24"/>
          <w:szCs w:val="24"/>
          <w:rtl/>
        </w:rPr>
        <w:t xml:space="preserve">وتُصنَّف تطبيقات الذكاء الاصطناعي في صناعة النفط ضمن محورين رئيسيين: التطبيقات التشغيلية الميدانية Operational Applications التي تستهدف تحسين كفاءة العمليات اليومية، والتطبيقات الجيولوجية والهندسية Geoscience &amp; Engineering Applications التي تستهدف تحسين قرارات الاستثمار طويلة الأمد. وفيما يلي استعراض تفصيلي لأبرز هذه التطبيقات وآليات عملها.</w:t>
      </w:r>
    </w:p>
    <w:p>
      <w:pPr>
        <w:bidi/>
        <w:spacing w:before="360" w:after="180"/>
        <w:jc w:val="right"/>
      </w:pPr>
      <w:r>
        <w:rPr>
          <w:rFonts w:ascii="Arial" w:cs="Arial" w:eastAsia="Arial" w:hAnsi="Arial"/>
          <w:b/>
          <w:bCs/>
          <w:color w:val="2E75B6"/>
          <w:sz w:val="30"/>
          <w:szCs w:val="30"/>
          <w:rtl/>
        </w:rPr>
        <w:t xml:space="preserve">4-2  تعلم الآلة في تحسين الإنتاج — Production Optimization</w:t>
      </w:r>
    </w:p>
    <w:p>
      <w:pPr>
        <w:bidi/>
        <w:spacing w:after="180" w:line="360"/>
        <w:jc w:val="right"/>
      </w:pPr>
      <w:r>
        <w:rPr>
          <w:rFonts w:ascii="Arial" w:cs="Arial" w:eastAsia="Arial" w:hAnsi="Arial"/>
          <w:sz w:val="24"/>
          <w:szCs w:val="24"/>
          <w:rtl/>
        </w:rPr>
        <w:t xml:space="preserve">يُمثّل تحسين الإنتاج Production Optimization أحد أبرز الميادين التي وجد فيها التعلم الآلي تطبيقاً مباشراً وثماراً ملموسة. وتكمن المشكلة الجوهرية في أن العوامل المؤثرة في إنتاج البئر كثيرة ومتشابكة؛ من ضغط الخزان Reservoir Pressure وحالة التكوين Formation Condition إلى إعدادات المعدات السطحية وخصائص السوائل المنتجة ونسبة الماء المنتج Water Cut، مما يجعل التحسين الشامل بالأساليب التقليدية عملاً شاقاً وغير مكتمل.</w:t>
      </w:r>
    </w:p>
    <w:p>
      <w:pPr>
        <w:bidi/>
        <w:spacing w:after="180" w:line="360"/>
        <w:jc w:val="right"/>
      </w:pPr>
      <w:r>
        <w:rPr>
          <w:rFonts w:ascii="Arial" w:cs="Arial" w:eastAsia="Arial" w:hAnsi="Arial"/>
          <w:sz w:val="24"/>
          <w:szCs w:val="24"/>
          <w:rtl/>
        </w:rPr>
        <w:t xml:space="preserve">تعتمد حلول التعلم الآلي على بناء نماذج تنبؤية Predictive Models تُدرَّب على بيانات إنتاجية تاريخية Historical Production Data تشمل آلاف ساعات التشغيل وتغطي مختلف ظروف التشغيل وأحوال المكمن. وحين تُطبَّق هذه النماذج على البيانات الحية Real-time Data، تستطيع اقتراح الإعدادات الأمثل لمعدات الإنتاج كضغط الفوهة Wellhead Pressure وسرعة مضخة القعر ESP Speed وفتح الخانقات Choke Openings بهدف تعظيم معدل الإنتاج أو تحسين نسبة المستخلصات.</w:t>
      </w:r>
    </w:p>
    <w:p>
      <w:pPr>
        <w:bidi/>
        <w:spacing w:after="180" w:line="360"/>
        <w:jc w:val="right"/>
      </w:pPr>
      <w:r>
        <w:rPr>
          <w:rFonts w:ascii="Arial" w:cs="Arial" w:eastAsia="Arial" w:hAnsi="Arial"/>
          <w:sz w:val="24"/>
          <w:szCs w:val="24"/>
          <w:rtl/>
        </w:rPr>
        <w:t xml:space="preserve">ومن أبرز التطبيقات الناجحة في هذا المجال ما تُنفّذه شركة BP في حقولها البحرية البعيدة باستخدام نظام Apex للتحكم الذاتي بالآبار، حيث يُجري النظام تعديلات آلية متواصلة على إعدادات التشغيل للحفاظ على الإنتاج عند أعلى مستوياته دون تدخل بشري مستمر. وتُشير تقارير الشركة إلى أن هذا النظام حقّق زيادة في الإنتاج تتراوح بين 3% و8% في الحقول التي طُبّق فيها. وعلى المنوال ذاته، تعتمد Saudi Aramco منصة Intelligent Field لتحسين أداء آبار الحقن وترشيد معدلات ضخ المياه.</w:t>
      </w:r>
    </w:p>
    <w:p>
      <w:pPr>
        <w:bidi/>
        <w:spacing w:before="360" w:after="180"/>
        <w:jc w:val="right"/>
      </w:pPr>
      <w:r>
        <w:rPr>
          <w:rFonts w:ascii="Arial" w:cs="Arial" w:eastAsia="Arial" w:hAnsi="Arial"/>
          <w:b/>
          <w:bCs/>
          <w:color w:val="2E75B6"/>
          <w:sz w:val="30"/>
          <w:szCs w:val="30"/>
          <w:rtl/>
        </w:rPr>
        <w:t xml:space="preserve">4-3  الصيانة التنبؤية — Predictive Maintenance</w:t>
      </w:r>
    </w:p>
    <w:p>
      <w:pPr>
        <w:bidi/>
        <w:spacing w:after="180" w:line="360"/>
        <w:jc w:val="right"/>
      </w:pPr>
      <w:r>
        <w:rPr>
          <w:rFonts w:ascii="Arial" w:cs="Arial" w:eastAsia="Arial" w:hAnsi="Arial"/>
          <w:sz w:val="24"/>
          <w:szCs w:val="24"/>
          <w:rtl/>
        </w:rPr>
        <w:t xml:space="preserve">تُعدّ الصيانة التنبؤية Predictive Maintenance أحد أكثر تطبيقات الذكاء الاصطناعي صدىً وانتشاراً في القطاع الصناعي عموماً والنفطي خصوصاً. وتقوم الفكرة على مراقبة حالة المعدات بصفة مستمرة Real-time Condition Monitoring وتحليل بيانات الاهتزاز Vibration Data ودرجات الحرارة والضغط وتيار الاستهلاك وأنماط الضوضاء الصوتية، ثم الاستعانة بخوارزميات ذكاء اصطناعي للكشف المبكر عن بوادر التدهور Degradation Patterns قبل أن تتطور إلى أعطال مكلفة.</w:t>
      </w:r>
    </w:p>
    <w:p>
      <w:pPr>
        <w:bidi/>
        <w:spacing w:after="180" w:line="360"/>
        <w:jc w:val="right"/>
      </w:pPr>
      <w:r>
        <w:rPr>
          <w:rFonts w:ascii="Arial" w:cs="Arial" w:eastAsia="Arial" w:hAnsi="Arial"/>
          <w:sz w:val="24"/>
          <w:szCs w:val="24"/>
          <w:rtl/>
        </w:rPr>
        <w:t xml:space="preserve">تقنياً، تعتمد أنظمة الصيانة التنبؤية الحديثة على شبكة كثيفة من أجهزة الاستشعار الذكية IIoT Sensors المثبّتة على المعدات الحرجة كالمضخات الكهربائية القاعية ESP والضواغط والمحركات والمبادلات الحرارية Heat Exchangers، وتُرسل هذه الأجهزة قراءاتها عبر شبكة لاسلكية صناعية إلى منصة تحليل مركزية. تُطبّق المنصة خوارزميات متخصصة كـ Anomaly Detection لرصد الانحرافات غير الاعتيادية، وخوارزميات Remaining Useful Life (RUL) Estimation للتنبؤ بالعمر المتوقع للمكوّن وتحديد نافذة الصيانة المثلى قبل الوصول إلى نقطة العطل.</w:t>
      </w:r>
    </w:p>
    <w:p>
      <w:pPr>
        <w:bidi/>
        <w:spacing w:after="180" w:line="360"/>
        <w:jc w:val="right"/>
      </w:pPr>
      <w:r>
        <w:rPr>
          <w:rFonts w:ascii="Arial" w:cs="Arial" w:eastAsia="Arial" w:hAnsi="Arial"/>
          <w:sz w:val="24"/>
          <w:szCs w:val="24"/>
          <w:rtl/>
        </w:rPr>
        <w:t xml:space="preserve">والنتيجة العملية لهذا النهج تحوّل استراتيجية الصيانة من النمط التقليدي القائم على جداول زمنية ثابتة Time-based Maintenance إلى نمط مرن يستجيب للحالة الفعلية للمعدات Condition-based Maintenance، مما يُقلّص التوقف غير المخطط Unplanned Downtime ويُقلّص في الوقت ذاته تكاليف الصيانة الزائدة Excessive Preventive Maintenance Cost. وتُشير دراسات صناعية متعددة إلى أن تطبيق الصيانة التنبؤية يُخفّض تكاليف الصيانة الإجمالية بنسبة 10-25% مقارنةً بالصيانة الوقائية التقليدية.</w:t>
      </w:r>
    </w:p>
    <w:p>
      <w:pPr>
        <w:bidi/>
        <w:spacing w:before="360" w:after="180"/>
        <w:jc w:val="right"/>
      </w:pPr>
      <w:r>
        <w:rPr>
          <w:rFonts w:ascii="Arial" w:cs="Arial" w:eastAsia="Arial" w:hAnsi="Arial"/>
          <w:b/>
          <w:bCs/>
          <w:color w:val="2E75B6"/>
          <w:sz w:val="30"/>
          <w:szCs w:val="30"/>
          <w:rtl/>
        </w:rPr>
        <w:t xml:space="preserve">4-4  الشبكات العصبية الاصطناعية في تحليل أداء الآبار</w:t>
      </w:r>
    </w:p>
    <w:p>
      <w:pPr>
        <w:bidi/>
        <w:spacing w:after="180" w:line="360"/>
        <w:jc w:val="right"/>
      </w:pPr>
      <w:r>
        <w:rPr>
          <w:rFonts w:ascii="Arial" w:cs="Arial" w:eastAsia="Arial" w:hAnsi="Arial"/>
          <w:sz w:val="24"/>
          <w:szCs w:val="24"/>
          <w:rtl/>
        </w:rPr>
        <w:t xml:space="preserve">الشبكات العصبية الاصطناعية Artificial Neural Networks (ANN) هي نماذج رياضية مُلهَمة من البنية التشابكية لخلايا الدماغ البشري، وتتميّز بقدرتها الاستثنائية على التعلم من البيانات واكتشاف الأنماط غير الخطية Non-linear Patterns الكامنة فيها، وهي الأنماط التي تعجز النماذج الرياضية التقليدية Linear Models عن التقاطها. وقد وجدت تطبيقاً ثرياً في تحليل أداء الآبار النفطية Well Performance Analysis بفضل قدرتها على الربط بين المتغيرات الجيولوجية والتشغيلية ومعدلات الإنتاج.</w:t>
      </w:r>
    </w:p>
    <w:p>
      <w:pPr>
        <w:bidi/>
        <w:spacing w:after="180" w:line="360"/>
        <w:jc w:val="right"/>
      </w:pPr>
      <w:r>
        <w:rPr>
          <w:rFonts w:ascii="Arial" w:cs="Arial" w:eastAsia="Arial" w:hAnsi="Arial"/>
          <w:sz w:val="24"/>
          <w:szCs w:val="24"/>
          <w:rtl/>
        </w:rPr>
        <w:t xml:space="preserve">من أبرز التطبيقات العملية للشبكات العصبية في هذا المجال: نمذجة منحنيات القدرة الإنتاجية Inflow Performance Relationship (IPR) بدقة أعلى من النماذج النظرية التقليدية كـ Vogel وDarcy، وتحديد أنماط تدفق السوائل داخل البئر Flow Regime Identification في أنظمة الرفع الاصطناعي، وكشف الآبار المتعثرة Under-performing Wells التي تُنتج دون طاقتها الكاملة بسبب ظروف تشغيلية دون مستوى أو مشاكل تكوينية خفية.</w:t>
      </w:r>
    </w:p>
    <w:p>
      <w:pPr>
        <w:bidi/>
        <w:spacing w:after="180" w:line="360"/>
        <w:jc w:val="right"/>
      </w:pPr>
      <w:r>
        <w:rPr>
          <w:rFonts w:ascii="Arial" w:cs="Arial" w:eastAsia="Arial" w:hAnsi="Arial"/>
          <w:sz w:val="24"/>
          <w:szCs w:val="24"/>
          <w:rtl/>
        </w:rPr>
        <w:t xml:space="preserve">كما تُستخدم الشبكات العصبية بنسخها الأعمق Deep Neural Networks في معالجة البيانات الزلزالية لاستخراج الخصائص الصوتية Seismic Attributes الدالة على تراكمات الهيدروكربون، وفي تصنيف أنواع الصخور Lithology Classification من السجلات البئرية بدقة فاقت قدرات الخبراء البشريين في بعض الدراسات المقارنة.</w:t>
      </w:r>
    </w:p>
    <w:p>
      <w:pPr>
        <w:bidi/>
        <w:spacing w:before="360" w:after="180"/>
        <w:jc w:val="right"/>
      </w:pPr>
      <w:r>
        <w:rPr>
          <w:rFonts w:ascii="Arial" w:cs="Arial" w:eastAsia="Arial" w:hAnsi="Arial"/>
          <w:b/>
          <w:bCs/>
          <w:color w:val="2E75B6"/>
          <w:sz w:val="30"/>
          <w:szCs w:val="30"/>
          <w:rtl/>
        </w:rPr>
        <w:t xml:space="preserve">4-5  تحليل البيانات الضخمة في صناعة النفط — Big Data Analytics</w:t>
      </w:r>
    </w:p>
    <w:p>
      <w:pPr>
        <w:bidi/>
        <w:spacing w:after="180" w:line="360"/>
        <w:jc w:val="right"/>
      </w:pPr>
      <w:r>
        <w:rPr>
          <w:rFonts w:ascii="Arial" w:cs="Arial" w:eastAsia="Arial" w:hAnsi="Arial"/>
          <w:sz w:val="24"/>
          <w:szCs w:val="24"/>
          <w:rtl/>
        </w:rPr>
        <w:t xml:space="preserve">تُولّد منظومة الحقل النفطي الحديث كميات هائلة من البيانات يومياً؛ فآلاف أجهزة الاستشعار المنتشرة في الحقل ترسل قراءاتها كل ثانية أو أقل، وأنظمة الحفر تُسجّل عشرات المتغيرات بصفة مستمرة، وصور المكمن ثلاثية الأبعاد High-resolution 3D Seismic تبلغ أحجامها تيرابايتات عديدة. ويستلزم التعامل مع هذا الكمّ الهائل بنية تحتية حاسوبية متخصصة وأُطر برمجية معدّة خصيصاً لهذا الغرض.</w:t>
      </w:r>
    </w:p>
    <w:p>
      <w:pPr>
        <w:bidi/>
        <w:spacing w:after="180" w:line="360"/>
        <w:jc w:val="right"/>
      </w:pPr>
      <w:r>
        <w:rPr>
          <w:rFonts w:ascii="Arial" w:cs="Arial" w:eastAsia="Arial" w:hAnsi="Arial"/>
          <w:sz w:val="24"/>
          <w:szCs w:val="24"/>
          <w:rtl/>
        </w:rPr>
        <w:t xml:space="preserve">وقد استجابت شركات تقنية المعلومات لهذه الحاجة بتطوير منصات متخصصة لتخزين بيانات النفط والغاز ومعالجتها، من بينها منصات مبنية على Apache Hadoop وApache Spark للمعالجة الموزعة Distributed Processing التي تُمكّن من تحليل التيرابايتات في دقائق عبر تجزئة العمل على مئات الخوادم المتوازية. كما صعدت الحوسبة السحابية Cloud Computing لتُقدّم حلولاً اقتصادية أكثر مرونة؛ إذ توفّر منصات كـ Microsoft Azure Energy، وAmazon AWS، وGoogle Cloud Platform خدمات حوسبة عالية الأداء HPC on-demand لمهام المحاكاة الضخمة دون الحاجة لامتلاك بنية تحتية ثابتة باهظة التكلفة.</w:t>
      </w:r>
    </w:p>
    <w:p>
      <w:pPr>
        <w:bidi/>
        <w:spacing w:after="180" w:line="360"/>
        <w:jc w:val="right"/>
      </w:pPr>
      <w:r>
        <w:rPr>
          <w:rFonts w:ascii="Arial" w:cs="Arial" w:eastAsia="Arial" w:hAnsi="Arial"/>
          <w:sz w:val="24"/>
          <w:szCs w:val="24"/>
          <w:rtl/>
        </w:rPr>
        <w:t xml:space="preserve">وعلى صعيد اللغات البرمجية المستخدمة في تحليل بيانات النفط، تحتل لغة Python مكانة رائدة بفضل نظامها البيئي الغني من مكتبات علوم البيانات كـ Pandas وNumPy وScikit-learn وTensorFlow، في حين تظل لغة R خياراً مفضّلاً للتحليل الإحصائي المتخصص. أما لغة MATLAB فتحتفظ بحضور قوي في التطبيقات الهندسية والنمذجة الرياضية المتقدمة.</w:t>
      </w:r>
    </w:p>
    <w:p>
      <w:pPr>
        <w:bidi/>
        <w:spacing w:before="360" w:after="180"/>
        <w:jc w:val="right"/>
      </w:pPr>
      <w:r>
        <w:rPr>
          <w:rFonts w:ascii="Arial" w:cs="Arial" w:eastAsia="Arial" w:hAnsi="Arial"/>
          <w:b/>
          <w:bCs/>
          <w:color w:val="2E75B6"/>
          <w:sz w:val="30"/>
          <w:szCs w:val="30"/>
          <w:rtl/>
        </w:rPr>
        <w:t xml:space="preserve">4-6  خوارزميات التحسين في صناعة النفط — Optimization Algorithms</w:t>
      </w:r>
    </w:p>
    <w:p>
      <w:pPr>
        <w:bidi/>
        <w:spacing w:after="180" w:line="360"/>
        <w:jc w:val="right"/>
      </w:pPr>
      <w:r>
        <w:rPr>
          <w:rFonts w:ascii="Arial" w:cs="Arial" w:eastAsia="Arial" w:hAnsi="Arial"/>
          <w:sz w:val="24"/>
          <w:szCs w:val="24"/>
          <w:rtl/>
        </w:rPr>
        <w:t xml:space="preserve">تُعدّ مسائل التحسين Optimization Problems من أكثر المسائل التقنية شيوعاً في صناعة النفط، إذ يُطرح تساؤل «ما أفضل قرار؟» على جميع المستويات من تحديد جدول ثقب الحفر وصولاً إلى تخصيص الطاقة الإنتاجية بين الآبار المتنافسة. وتعتمد الحلول الحاسوبية لهذه المسائل على خوارزميات متنوعة بحسب طبيعة المشكلة ودرجة تعقيدها.</w:t>
      </w:r>
    </w:p>
    <w:p>
      <w:pPr>
        <w:bidi/>
        <w:spacing w:after="180" w:line="360"/>
        <w:jc w:val="right"/>
      </w:pPr>
      <w:r>
        <w:rPr>
          <w:rFonts w:ascii="Arial" w:cs="Arial" w:eastAsia="Arial" w:hAnsi="Arial"/>
          <w:sz w:val="24"/>
          <w:szCs w:val="24"/>
          <w:rtl/>
        </w:rPr>
        <w:t xml:space="preserve">من أبرز خوارزميات التحسين المستخدمة: خوارزميات البرمجة الخطية Linear Programming لمسائل تخصيص الموارد البسيطة، وخوارزميات البرمجة اللاخطية Non-linear Programming للمسائل المعقدة ذات القيود المتعددة، وخوارزميات التحسين التطوري Evolutionary Algorithms كـ Genetic Algorithms وParticle Swarm Optimization للمسائل العالمية عالية الأبعاد. وتُعدّ خوارزميات Bayesian Optimization من أحدث هذه الأساليب وأكثرها فعالية في تحسين المعلمات الهندسية حيث يكون تقييم الدالة المراد تحسينها مكلفاً زمنياً وحسابياً.</w:t>
      </w:r>
    </w:p>
    <w:p>
      <w:r>
        <w:br w:type="page"/>
      </w:r>
    </w:p>
    <w:p>
      <w:pPr>
        <w:pBdr>
          <w:bottom w:val="single" w:color="1F497D" w:sz="8" w:space="6"/>
        </w:pBdr>
        <w:bidi/>
        <w:spacing w:before="500" w:after="240"/>
        <w:jc w:val="right"/>
      </w:pPr>
      <w:r>
        <w:rPr>
          <w:rFonts w:ascii="Arial" w:cs="Arial" w:eastAsia="Arial" w:hAnsi="Arial"/>
          <w:b/>
          <w:bCs/>
          <w:color w:val="1F497D"/>
          <w:sz w:val="40"/>
          <w:szCs w:val="40"/>
          <w:rtl/>
        </w:rPr>
        <w:t xml:space="preserve">الفصل الخامس: تحليل بيانات الإنتاج والخسائر والتنبؤ</w:t>
      </w:r>
    </w:p>
    <w:p>
      <w:pPr>
        <w:spacing w:after="140"/>
      </w:pPr>
      <w:r>
        <w:t xml:space="preserve"/>
      </w:r>
    </w:p>
    <w:p>
      <w:pPr>
        <w:bidi/>
        <w:spacing w:before="360" w:after="180"/>
        <w:jc w:val="right"/>
      </w:pPr>
      <w:r>
        <w:rPr>
          <w:rFonts w:ascii="Arial" w:cs="Arial" w:eastAsia="Arial" w:hAnsi="Arial"/>
          <w:b/>
          <w:bCs/>
          <w:color w:val="2E75B6"/>
          <w:sz w:val="30"/>
          <w:szCs w:val="30"/>
          <w:rtl/>
        </w:rPr>
        <w:t xml:space="preserve">5-1  نماذج التنبؤ بالإنتاج — Production Forecasting Models</w:t>
      </w:r>
    </w:p>
    <w:p>
      <w:pPr>
        <w:bidi/>
        <w:spacing w:after="180" w:line="360"/>
        <w:jc w:val="right"/>
      </w:pPr>
      <w:r>
        <w:rPr>
          <w:rFonts w:ascii="Arial" w:cs="Arial" w:eastAsia="Arial" w:hAnsi="Arial"/>
          <w:sz w:val="24"/>
          <w:szCs w:val="24"/>
          <w:rtl/>
        </w:rPr>
        <w:t xml:space="preserve">التنبؤ بالإنتاج Production Forecasting هو عملية تقدير معدلات الإنتاج المستقبلية للبئر أو الحقل استناداً إلى البيانات المتاحة والنماذج الهندسية والإحصائية. ويُعدّ هذا التنبؤ ركيزة أساسية لا غنى عنها في تخطيط الإيرادات المالية وجدولة عمليات الصيانة وتحديد أولويات الاستثمار وتنظيم التوريد والعقود. وقد شهد هذا المجال تطوراً ملحوظاً من الأساليب التقليدية القائمة على الاستقراء البسيط نحو نماذج هجينة متطورة Hybrid Models تدمج بين المنطق الفيزيائي الهندسي وقوة خوارزميات التعلم الآلي.</w:t>
      </w:r>
    </w:p>
    <w:p>
      <w:pPr>
        <w:bidi/>
        <w:spacing w:before="240" w:after="120"/>
        <w:jc w:val="right"/>
      </w:pPr>
      <w:r>
        <w:rPr>
          <w:rFonts w:ascii="Arial" w:cs="Arial" w:eastAsia="Arial" w:hAnsi="Arial"/>
          <w:b/>
          <w:bCs/>
          <w:color w:val="2F5496"/>
          <w:sz w:val="26"/>
          <w:szCs w:val="26"/>
          <w:rtl/>
        </w:rPr>
        <w:t xml:space="preserve">أ. تحليل منحنيات التراجع — Decline Curve Analysis (DCA)</w:t>
      </w:r>
    </w:p>
    <w:p>
      <w:pPr>
        <w:bidi/>
        <w:spacing w:after="180" w:line="360"/>
        <w:jc w:val="right"/>
      </w:pPr>
      <w:r>
        <w:rPr>
          <w:rFonts w:ascii="Arial" w:cs="Arial" w:eastAsia="Arial" w:hAnsi="Arial"/>
          <w:sz w:val="24"/>
          <w:szCs w:val="24"/>
          <w:rtl/>
        </w:rPr>
        <w:t xml:space="preserve">يُمثّل تحليل منحنيات التراجع الأسلوب الكلاسيكي والأوسع انتشاراً في التنبؤ بإنتاج الآبار. وتقوم نظرية Arps المُقنَّنة منذ عام 1945 على ثلاثة نماذج رياضية أساسية: النموذج الأسي Exponential Decline الذي يفترض تراجعاً ثابت النسبة Constant Decline Rate وهو الأبسط رياضياً، والنموذج التوافقي Harmonic Decline الذي يصف تراجعاً يتباطأ بصورة منتظمة، والنموذج الهيبيربولي Hyperbolic Decline الأكثر شيوعاً في التطبيق العملي إذ يقع بين الأسي والتوافقي ويُوصَف بمعامل b الذي تتراوح قيمته بين 0 و1. يُستخدم هذا التحليل في تقدير الاحتياطيات القابلة للاستخلاص Estimated Ultimate Recovery (EUR) والعمر الإنتاجي الاقتصادي Economic Life للآبار.</w:t>
      </w:r>
    </w:p>
    <w:p>
      <w:pPr>
        <w:bidi/>
        <w:spacing w:after="180" w:line="360"/>
        <w:jc w:val="right"/>
      </w:pPr>
      <w:r>
        <w:rPr>
          <w:rFonts w:ascii="Arial" w:cs="Arial" w:eastAsia="Arial" w:hAnsi="Arial"/>
          <w:sz w:val="24"/>
          <w:szCs w:val="24"/>
          <w:rtl/>
        </w:rPr>
        <w:t xml:space="preserve">وقد بُرمِجت نماذج تحليل منحنيات التراجع في حزم برمجية متخصصة كـ Harmony Enterprise من PHDWin وPetEx من Petroleum Experts وAres من Kappa Engineering، حيث تُوفّر هذه البرامج أدوات الملاءمة التلقائية Automatic Curve Fitting والتنبؤ الاحتمالي Probabilistic Forecasting ضمن نطاقات عدم اليقين P10/P50/P90 التي باتت المعيار الصناعي في تقارير الاحتياطيات.</w:t>
      </w:r>
    </w:p>
    <w:p>
      <w:pPr>
        <w:bidi/>
        <w:spacing w:before="240" w:after="120"/>
        <w:jc w:val="right"/>
      </w:pPr>
      <w:r>
        <w:rPr>
          <w:rFonts w:ascii="Arial" w:cs="Arial" w:eastAsia="Arial" w:hAnsi="Arial"/>
          <w:b/>
          <w:bCs/>
          <w:color w:val="2F5496"/>
          <w:sz w:val="26"/>
          <w:szCs w:val="26"/>
          <w:rtl/>
        </w:rPr>
        <w:t xml:space="preserve">ب. النمذجة الديناميكية المتكاملة — Integrated Asset Modeling</w:t>
      </w:r>
    </w:p>
    <w:p>
      <w:pPr>
        <w:bidi/>
        <w:spacing w:after="180" w:line="360"/>
        <w:jc w:val="right"/>
      </w:pPr>
      <w:r>
        <w:rPr>
          <w:rFonts w:ascii="Arial" w:cs="Arial" w:eastAsia="Arial" w:hAnsi="Arial"/>
          <w:sz w:val="24"/>
          <w:szCs w:val="24"/>
          <w:rtl/>
        </w:rPr>
        <w:t xml:space="preserve">يتجاوز نهج النمذجة المتكاملة حدود الحقل المعزول ليربط النموذج الديناميكي للمكمن Reservoir Dynamic Model بنموذج التدفق في البئر Wellbore Flow Model وبنموذج شبكة التجميع السطحية Surface Network Model في بيئة محاكاة موحدة. وتمنح هذه الشمولية القدرة على تحديد نقاط الاختناق Bottlenecks في المنظومة بأكملها والتنبؤ بأثر أي تغيير تشغيلي على الإنتاج الإجمالي للمنظومة، وليس فقط على البئر المعني.</w:t>
      </w:r>
    </w:p>
    <w:p>
      <w:pPr>
        <w:bidi/>
        <w:spacing w:after="180" w:line="360"/>
        <w:jc w:val="right"/>
      </w:pPr>
      <w:r>
        <w:rPr>
          <w:rFonts w:ascii="Arial" w:cs="Arial" w:eastAsia="Arial" w:hAnsi="Arial"/>
          <w:sz w:val="24"/>
          <w:szCs w:val="24"/>
          <w:rtl/>
        </w:rPr>
        <w:t xml:space="preserve">ومن أشهر البرامج في هذا المجال برنامج GAP من Petroleum Experts الذي يُنمذج شبكة التجميع كاملةً من مخرج البئر إلى المنشأة النهائية ويُحدّد الأمثل لتوزيع الطاقة الإنتاجية بين الآبار المتنافسة على الطاقة الكلية للمنظومة. كما توفّر شركة SLB برنامج PIPESIM الذي يُتقن نمذجة تدفق السوائل الثنائية والثلاثية الأطوار Multiphase Flow في الأنابيب وخطوط التجميع بدقة عالية تستوعب التغيرات في درجات الحرارة والضغط على طول المسار.</w:t>
      </w:r>
    </w:p>
    <w:p>
      <w:pPr>
        <w:bidi/>
        <w:spacing w:before="240" w:after="120"/>
        <w:jc w:val="right"/>
      </w:pPr>
      <w:r>
        <w:rPr>
          <w:rFonts w:ascii="Arial" w:cs="Arial" w:eastAsia="Arial" w:hAnsi="Arial"/>
          <w:b/>
          <w:bCs/>
          <w:color w:val="2F5496"/>
          <w:sz w:val="26"/>
          <w:szCs w:val="26"/>
          <w:rtl/>
        </w:rPr>
        <w:t xml:space="preserve">ج. نماذج التعلم الآلي في التنبؤ — ML-Based Forecasting</w:t>
      </w:r>
    </w:p>
    <w:p>
      <w:pPr>
        <w:bidi/>
        <w:spacing w:after="180" w:line="360"/>
        <w:jc w:val="right"/>
      </w:pPr>
      <w:r>
        <w:rPr>
          <w:rFonts w:ascii="Arial" w:cs="Arial" w:eastAsia="Arial" w:hAnsi="Arial"/>
          <w:sz w:val="24"/>
          <w:szCs w:val="24"/>
          <w:rtl/>
        </w:rPr>
        <w:t xml:space="preserve">مع تراكم قواعد البيانات التاريخية الضخمة في شركات النفط التي تمتد لعقود من التشغيل، فُتح الباب واسعاً أمام نماذج التنبؤ المبنية على التعلم الآلي. وتعتمد هذه النماذج على خوارزميات متقدمة كـ Long Short-Term Memory (LSTM) وهي نوع متخصص من الشبكات العصبية التكرارية Recurrent Neural Networks متميّزة في معالجة البيانات الزمنية المتسلسلة Time Series Data، ونماذج XGBoost وRandom Forest للتنبؤ الإنتاجي بناءً على مجموعة الخصائص الإنتاجية والجيولوجية والتشغيلية.</w:t>
      </w:r>
    </w:p>
    <w:p>
      <w:pPr>
        <w:bidi/>
        <w:spacing w:after="180" w:line="360"/>
        <w:jc w:val="right"/>
      </w:pPr>
      <w:r>
        <w:rPr>
          <w:rFonts w:ascii="Arial" w:cs="Arial" w:eastAsia="Arial" w:hAnsi="Arial"/>
          <w:sz w:val="24"/>
          <w:szCs w:val="24"/>
          <w:rtl/>
        </w:rPr>
        <w:t xml:space="preserve">تتميّز نماذج التعلم الآلي بقدرتها على استيعاب عدد كبير من المتغيرات المتشابكة High-dimensional Feature Space التي يصعب دمجها في النماذج التقليدية، كتأثير الأحداث التشغيلية Operational Events ومواسم الطلب وتداعيات عمليات الصيانة ومؤثرات حقن الماء على الآبار المجاورة. غير أن هذه النماذج تستلزم في المقابل قواعد بيانات تاريخية كافية الحجم والجودة وعمليات معايرة Calibration دقيقة، كما تفتقر أحياناً إلى القدرة التفسيرية Interpretability التي تُوفّرها النماذج الفيزيائية التقليدية.</w:t>
      </w:r>
    </w:p>
    <w:p>
      <w:pPr>
        <w:bidi/>
        <w:spacing w:before="360" w:after="180"/>
        <w:jc w:val="right"/>
      </w:pPr>
      <w:r>
        <w:rPr>
          <w:rFonts w:ascii="Arial" w:cs="Arial" w:eastAsia="Arial" w:hAnsi="Arial"/>
          <w:b/>
          <w:bCs/>
          <w:color w:val="2E75B6"/>
          <w:sz w:val="30"/>
          <w:szCs w:val="30"/>
          <w:rtl/>
        </w:rPr>
        <w:t xml:space="preserve">5-2  تحليل بيانات الخسائر الإنتاجية — Production Loss Analytics</w:t>
      </w:r>
    </w:p>
    <w:p>
      <w:pPr>
        <w:bidi/>
        <w:spacing w:after="180" w:line="360"/>
        <w:jc w:val="right"/>
      </w:pPr>
      <w:r>
        <w:rPr>
          <w:rFonts w:ascii="Arial" w:cs="Arial" w:eastAsia="Arial" w:hAnsi="Arial"/>
          <w:sz w:val="24"/>
          <w:szCs w:val="24"/>
          <w:rtl/>
        </w:rPr>
        <w:t xml:space="preserve">يُقصد بالخسائر الإنتاجية Production Losses أو Production Deferment كل انخفاض في معدل الإنتاج الفعلي Actual Production Rate عما هو مُخطَّط أو مقدَّر Expected Rate. وتتعدد أسباب هذه الخسائر وتتشابك في منظومة معقدة؛ منها ما هو مرتبط بالمعدات كأعطال المضخات والضواغط وتسرّب الصمامات وتآكل الأنابيب، ومنها ما هو مرتبط بالعمليات كإغلاق الآبار لأغراض الصيانة المجدولة Planned Shutdowns والاختبارات الإنتاجية Well Tests وعمليات الخدمة Well Services، ومنها ما هو مرتبط بالمكمن كالتراجع الطبيعي Natural Decline وارتفاع نسبة المياه المصاحبة Water Cut ومشاكل الرسوبيات Scale.</w:t>
      </w:r>
    </w:p>
    <w:p>
      <w:pPr>
        <w:bidi/>
        <w:spacing w:after="180" w:line="360"/>
        <w:jc w:val="right"/>
      </w:pPr>
      <w:r>
        <w:rPr>
          <w:rFonts w:ascii="Arial" w:cs="Arial" w:eastAsia="Arial" w:hAnsi="Arial"/>
          <w:sz w:val="24"/>
          <w:szCs w:val="24"/>
          <w:rtl/>
        </w:rPr>
        <w:t xml:space="preserve">يعتمد تحليل بيانات الخسائر على مفهوم بيانات الإنتاج المؤجّل Deferment Data الذي يُقارن الإنتاج الفعلي مع الإنتاج المرتقب Expected Production المحسوب بناءً على النموذج الهندسي أو الفني لأداء البئر. ويُحدَّد الفرق بينهما بوصفه خسارة مؤجلة تُصنَّف بحسب سببها Loss Cause وموقعها Loss Location وفترتها الزمنية ومسؤول معالجتها Responsible Party، وتُعبَّر عنها بوحدات حجم النفط أو الغاز المفقودة كـ Barrels of Oil per Day (BOPD) أو Metric Tons per Day (MTPD).</w:t>
      </w:r>
    </w:p>
    <w:p>
      <w:pPr>
        <w:bidi/>
        <w:spacing w:after="180" w:line="360"/>
        <w:jc w:val="right"/>
      </w:pPr>
      <w:r>
        <w:rPr>
          <w:rFonts w:ascii="Arial" w:cs="Arial" w:eastAsia="Arial" w:hAnsi="Arial"/>
          <w:sz w:val="24"/>
          <w:szCs w:val="24"/>
          <w:rtl/>
        </w:rPr>
        <w:t xml:space="preserve">ومن الناحية التقنية، يستلزم تحليل الخسائر الفعّال قاعدة بيانات منظمة صارمة تُسجّل كل حدث تأثيرٍ على الإنتاج مع توصيفه بعدد من الحقول المعيارية: رمز السبب Loss Code المستخرج من قائمة موحدة معتمدة، ورمز الموقع Location Code يُحدّد البئر أو المحطة المعنية، وتوقيت البداية والنهاية بدقة الدقيقة، والكمية المفقودة المقدَّرة Estimated Volume. ويُتيح هذا التنظيم الدقيق إجراء تحليلات إحصائية معمّقة لتحديد الأسباب الجذرية Root Cause Analysis وترتيب أولويات التدخل بناءً على الأثر الإنتاجي لكل سبب.</w:t>
      </w:r>
    </w:p>
    <w:p>
      <w:pPr>
        <w:bidi/>
        <w:spacing w:after="180" w:line="360"/>
        <w:jc w:val="right"/>
      </w:pPr>
      <w:r>
        <w:rPr>
          <w:rFonts w:ascii="Arial" w:cs="Arial" w:eastAsia="Arial" w:hAnsi="Arial"/>
          <w:sz w:val="24"/>
          <w:szCs w:val="24"/>
          <w:rtl/>
        </w:rPr>
        <w:t xml:space="preserve">وتُعدّ مصفوفة باريتو Pareto Analysis من أكثر الأدوات التحليلية فائدةً في هذا السياق؛ إذ تُرتّب الأسباب تنازلياً بحسب حجم الخسارة المنسوبة لكل منها، وغالباً ما يكشف هذا الترتيب عن مبدأ 80/20 حيث يُفسّر 20% من الأسباب ما يقارب 80% من الحجم الإجمالي للخسائر، مما يُركّز جهود المعالجة على المجالات الأعلى أثراً.</w:t>
      </w:r>
    </w:p>
    <w:p>
      <w:pPr>
        <w:bidi/>
        <w:spacing w:before="360" w:after="180"/>
        <w:jc w:val="right"/>
      </w:pPr>
      <w:r>
        <w:rPr>
          <w:rFonts w:ascii="Arial" w:cs="Arial" w:eastAsia="Arial" w:hAnsi="Arial"/>
          <w:b/>
          <w:bCs/>
          <w:color w:val="2E75B6"/>
          <w:sz w:val="30"/>
          <w:szCs w:val="30"/>
          <w:rtl/>
        </w:rPr>
        <w:t xml:space="preserve">5-3  لوحات البيانات الحية — Real-time Production Dashboards</w:t>
      </w:r>
    </w:p>
    <w:p>
      <w:pPr>
        <w:bidi/>
        <w:spacing w:after="180" w:line="360"/>
        <w:jc w:val="right"/>
      </w:pPr>
      <w:r>
        <w:rPr>
          <w:rFonts w:ascii="Arial" w:cs="Arial" w:eastAsia="Arial" w:hAnsi="Arial"/>
          <w:sz w:val="24"/>
          <w:szCs w:val="24"/>
          <w:rtl/>
        </w:rPr>
        <w:t xml:space="preserve">شهدت السنوات الأخيرة تحوّلاً جذرياً في طريقة عرض بيانات الإنتاج ومتابعتها، من التقارير الورقية الدورية أو الجداول الإلكترونية التقليدية Static Spreadsheets إلى لوحات البيانات الحية التفاعلية Interactive Real-time Dashboards. وتُوفّر هذه اللوحات رؤية لحظية شاملة Operational Visibility لكامل منظومة الإنتاج في شاشة واحدة متكاملة يستطيع المشغّل أو المدير التشغيلي أو القيادة العليا من خلالها استيعاب صورة الحقل وحالته في ثوانٍ.</w:t>
      </w:r>
    </w:p>
    <w:p>
      <w:pPr>
        <w:bidi/>
        <w:spacing w:after="180" w:line="360"/>
        <w:jc w:val="right"/>
      </w:pPr>
      <w:r>
        <w:rPr>
          <w:rFonts w:ascii="Arial" w:cs="Arial" w:eastAsia="Arial" w:hAnsi="Arial"/>
          <w:sz w:val="24"/>
          <w:szCs w:val="24"/>
          <w:rtl/>
        </w:rPr>
        <w:t xml:space="preserve">تتيح هذه الأنظمة الاطلاع اللحظي على معدلات الإنتاج اليومية Daily Rates لكل بئر وحقل ومنظومة، ونسب السوائل المنتجة من نفط وغاز وماء GOR وWOR، ومستويات الضغط والحرارة في النقاط الرئيسية من المنظومة، وحالة المعدات الحرجة ومؤشرات تشغيلها Equipment Status Indicators، والإنذارات والتنبيهات Active Alarms مع مستوياتها وأولوياتها. كما تُوفّر أدوات التحليل التاريخي Historic Trend Analysis إمكانية المقارنة بين فترات زمنية مختلفة بضغطة زر.</w:t>
      </w:r>
    </w:p>
    <w:p>
      <w:pPr>
        <w:bidi/>
        <w:spacing w:after="180" w:line="360"/>
        <w:jc w:val="right"/>
      </w:pPr>
      <w:r>
        <w:rPr>
          <w:rFonts w:ascii="Arial" w:cs="Arial" w:eastAsia="Arial" w:hAnsi="Arial"/>
          <w:sz w:val="24"/>
          <w:szCs w:val="24"/>
          <w:rtl/>
        </w:rPr>
        <w:t xml:space="preserve">ومن أبرز منصات إدارة البيانات الصناعية المستخدمة في صناعة النفط: نظام OSIsoft PI System المعروف اليوم بـ AVEVA PI System الذي يُعدّ المعيار الذهبي في تاريخية البيانات الصناعية Process Data Historian ويُستخدم في المئات من شركات النفط والغاز العالمية؛ إذ يجمع البيانات من آلاف نقاط القياس بمعدلات أخذ عينات مرتفعة ويُخزّنها بكفاءة عالية مع توفير واجهات استعلام مرنة. وتُكمّله منصة AVEVA Operations Control لبناء لوحات البيانات التشغيلية المخصصة.</w:t>
      </w:r>
    </w:p>
    <w:p>
      <w:pPr>
        <w:bidi/>
        <w:spacing w:after="180" w:line="360"/>
        <w:jc w:val="right"/>
      </w:pPr>
      <w:r>
        <w:rPr>
          <w:rFonts w:ascii="Arial" w:cs="Arial" w:eastAsia="Arial" w:hAnsi="Arial"/>
          <w:sz w:val="24"/>
          <w:szCs w:val="24"/>
          <w:rtl/>
        </w:rPr>
        <w:t xml:space="preserve">وعلى مستوى أدوات تصوير البيانات Data Visualization، تُهيمن منصة Power BI من Microsoft على قطاع واسع من شركات النفط لأغراض التقارير الإدارية والتحليل المؤسسي بفضل تكاملها مع منظومة Microsoft Office وسهولة بناء التقارير التفاعلية. كما تُستخدم أدوات Grafana وTableau في تطبيقات تشغيلية أكثر تخصصاً.</w:t>
      </w:r>
    </w:p>
    <w:p>
      <w:pPr>
        <w:bidi/>
        <w:spacing w:before="360" w:after="180"/>
        <w:jc w:val="right"/>
      </w:pPr>
      <w:r>
        <w:rPr>
          <w:rFonts w:ascii="Arial" w:cs="Arial" w:eastAsia="Arial" w:hAnsi="Arial"/>
          <w:b/>
          <w:bCs/>
          <w:color w:val="2E75B6"/>
          <w:sz w:val="30"/>
          <w:szCs w:val="30"/>
          <w:rtl/>
        </w:rPr>
        <w:t xml:space="preserve">5-4  مؤشرات الأداء الرئيسية — Production KPIs</w:t>
      </w:r>
    </w:p>
    <w:p>
      <w:pPr>
        <w:bidi/>
        <w:spacing w:after="180" w:line="360"/>
        <w:jc w:val="right"/>
      </w:pPr>
      <w:r>
        <w:rPr>
          <w:rFonts w:ascii="Arial" w:cs="Arial" w:eastAsia="Arial" w:hAnsi="Arial"/>
          <w:sz w:val="24"/>
          <w:szCs w:val="24"/>
          <w:rtl/>
        </w:rPr>
        <w:t xml:space="preserve">لا تكتمل منظومة تحليل بيانات الإنتاج والخسائر دون تعريف واضح ودقيق لمؤشرات الأداء الرئيسية KPIs التي تُقيس مدى كفاءة التشغيل وتُتيح المقارنة الموضوعية بين الفترات الزمنية المختلفة والحقول والآبار والفرق التشغيلية. وتُصنَّف هذه المؤشرات في القطاع النفطي ضمن مستويات متدرّجة تبدأ من مؤشرات الأداء التشغيلي اليومي وترتقي إلى المؤشرات الاستراتيجية السنوية.</w:t>
      </w:r>
    </w:p>
    <w:p>
      <w:pPr>
        <w:bidi/>
        <w:spacing w:before="240" w:after="120"/>
        <w:jc w:val="right"/>
      </w:pPr>
      <w:r>
        <w:rPr>
          <w:rFonts w:ascii="Arial" w:cs="Arial" w:eastAsia="Arial" w:hAnsi="Arial"/>
          <w:b/>
          <w:bCs/>
          <w:color w:val="2F5496"/>
          <w:sz w:val="26"/>
          <w:szCs w:val="26"/>
          <w:rtl/>
        </w:rPr>
        <w:t xml:space="preserve">مؤشرات الإنتاج</w:t>
      </w:r>
    </w:p>
    <w:p>
      <w:pPr>
        <w:bidi/>
        <w:spacing w:after="180" w:line="360"/>
        <w:jc w:val="right"/>
      </w:pPr>
      <w:r>
        <w:rPr>
          <w:rFonts w:ascii="Arial" w:cs="Arial" w:eastAsia="Arial" w:hAnsi="Arial"/>
          <w:sz w:val="24"/>
          <w:szCs w:val="24"/>
          <w:rtl/>
        </w:rPr>
        <w:t xml:space="preserve">تشمل معدل الإنتاج اليومي Daily Oil Rate المقاس بالبرميل في اليوم BOPD، ومعدل الإنتاج الكلي للحقل Field Production Rate ومقارنته بالطاقة القصوى Nameplate Capacity، وكفاءة الإنتاج Production Efficiency وهي نسبة الإنتاج الفعلي إلى الإنتاج الممكن Potential Production فيما لو عملت جميع الآبار بكامل طاقتها دون قيود تشغيلية أو أعطال. كما تشمل مؤشر إنتاجية البئر Productivity Index (PI) الذي يقيس معدل الإنتاج لكل وحدة فرق ضغط في البئر.</w:t>
      </w:r>
    </w:p>
    <w:p>
      <w:pPr>
        <w:bidi/>
        <w:spacing w:before="240" w:after="120"/>
        <w:jc w:val="right"/>
      </w:pPr>
      <w:r>
        <w:rPr>
          <w:rFonts w:ascii="Arial" w:cs="Arial" w:eastAsia="Arial" w:hAnsi="Arial"/>
          <w:b/>
          <w:bCs/>
          <w:color w:val="2F5496"/>
          <w:sz w:val="26"/>
          <w:szCs w:val="26"/>
          <w:rtl/>
        </w:rPr>
        <w:t xml:space="preserve">مؤشرات التشغيل والصيانة</w:t>
      </w:r>
    </w:p>
    <w:p>
      <w:pPr>
        <w:bidi/>
        <w:spacing w:after="180" w:line="360"/>
        <w:jc w:val="right"/>
      </w:pPr>
      <w:r>
        <w:rPr>
          <w:rFonts w:ascii="Arial" w:cs="Arial" w:eastAsia="Arial" w:hAnsi="Arial"/>
          <w:sz w:val="24"/>
          <w:szCs w:val="24"/>
          <w:rtl/>
        </w:rPr>
        <w:t xml:space="preserve">تشمل معدل توافر المعدات Equipment Availability Rate وهو النسبة المئوية للوقت الذي تكون فيه المعدات جاهزة للتشغيل، ومتوسط الوقت بين الأعطال Mean Time Between Failures (MTBF) لكل فئة من المعدات الحرجة، ومتوسط وقت الإصلاح Mean Time To Repair (MTTR) الذي يعكس كفاءة فريق الصيانة، ومعدل الأعطال غير المخططة Unplanned Failure Rate المعبَّر عنه كنسبة من إجمالي وقت التشغيل.</w:t>
      </w:r>
    </w:p>
    <w:p>
      <w:pPr>
        <w:bidi/>
        <w:spacing w:before="240" w:after="120"/>
        <w:jc w:val="right"/>
      </w:pPr>
      <w:r>
        <w:rPr>
          <w:rFonts w:ascii="Arial" w:cs="Arial" w:eastAsia="Arial" w:hAnsi="Arial"/>
          <w:b/>
          <w:bCs/>
          <w:color w:val="2F5496"/>
          <w:sz w:val="26"/>
          <w:szCs w:val="26"/>
          <w:rtl/>
        </w:rPr>
        <w:t xml:space="preserve">مؤشرات الخسائر</w:t>
      </w:r>
    </w:p>
    <w:p>
      <w:pPr>
        <w:bidi/>
        <w:spacing w:after="180" w:line="360"/>
        <w:jc w:val="right"/>
      </w:pPr>
      <w:r>
        <w:rPr>
          <w:rFonts w:ascii="Arial" w:cs="Arial" w:eastAsia="Arial" w:hAnsi="Arial"/>
          <w:sz w:val="24"/>
          <w:szCs w:val="24"/>
          <w:rtl/>
        </w:rPr>
        <w:t xml:space="preserve">تشمل إجمالي الإنتاج المؤجّل Total Deferred Production يومياً وشهرياً وسنوياً، ونسبة الخسائر المخططة إلى غير المخططة Planned vs. Unplanned Loss Ratio الذي يعكس مستوى التخطيط التشغيلي، وتوزيع الخسائر بحسب أسبابها Loss Breakdown by Cause Code الذي يُظهر أين تتمركز أعلى نسب الخسارة لتوجيه جهود الحل. كما يُعدّ مؤشر كفاءة استرداد الخسائر Loss Recovery Efficiency مقياساً مهماً يُقيّم مدى نجاح الفرق في استرداد الإنتاج المفقود بعد رفع الأعطال.</w:t>
      </w:r>
    </w:p>
    <w:p>
      <w:pPr>
        <w:bidi/>
        <w:spacing w:before="360" w:after="180"/>
        <w:jc w:val="right"/>
      </w:pPr>
      <w:r>
        <w:rPr>
          <w:rFonts w:ascii="Arial" w:cs="Arial" w:eastAsia="Arial" w:hAnsi="Arial"/>
          <w:b/>
          <w:bCs/>
          <w:color w:val="2E75B6"/>
          <w:sz w:val="30"/>
          <w:szCs w:val="30"/>
          <w:rtl/>
        </w:rPr>
        <w:t xml:space="preserve">5-5  تطبيقات مباشرة في شركة نفط البصرة</w:t>
      </w:r>
    </w:p>
    <w:p>
      <w:pPr>
        <w:bidi/>
        <w:spacing w:after="180" w:line="360"/>
        <w:jc w:val="right"/>
      </w:pPr>
      <w:r>
        <w:rPr>
          <w:rFonts w:ascii="Arial" w:cs="Arial" w:eastAsia="Arial" w:hAnsi="Arial"/>
          <w:sz w:val="24"/>
          <w:szCs w:val="24"/>
          <w:rtl/>
        </w:rPr>
        <w:t xml:space="preserve">تُعدّ شركة نفط البصرة Basra Oil Company واحدة من أهم شركات النفط الوطنية في العراق، وهي المسؤولة عن تشغيل حقول النفط الكبرى في جنوب العراق بما فيها حقل الرميلة الشمالي والجنوبي وحقل القرنة وحقل نهر عمر. ويعتمد قسم خدمات الآبار Well Services Department وفرق العمليات التشغيلية على منظومة متكاملة من أنظمة الرصد والمتابعة للحفاظ على استمرارية الإنتاج في هذه الحقول الضخمة.</w:t>
      </w:r>
    </w:p>
    <w:p>
      <w:pPr>
        <w:bidi/>
        <w:spacing w:after="180" w:line="360"/>
        <w:jc w:val="right"/>
      </w:pPr>
      <w:r>
        <w:rPr>
          <w:rFonts w:ascii="Arial" w:cs="Arial" w:eastAsia="Arial" w:hAnsi="Arial"/>
          <w:sz w:val="24"/>
          <w:szCs w:val="24"/>
          <w:rtl/>
        </w:rPr>
        <w:t xml:space="preserve">وتتجلى الفرص الأكثر إلحاحاً وقيمةً في مجال تحليل بيانات الإنتاج والخسائر في تطوير لوحات بيانات Production Dashboards مخصصة لعمليات رميلة توفّر رؤية لحظية لبيانات الإنتاج لكل بئر ومحطة، وتُميّز الخسائر الإنتاجية تلقائياً بحسب نوعها وموقعها وأثرها الكمي. ويُتيح ذلك للقيادة التشغيلية اتخاذ قرارات أسرع وأكثر استناداً إلى البيانات بدلاً من الاعتماد على التقديرات والانطباعات.</w:t>
      </w:r>
    </w:p>
    <w:p>
      <w:pPr>
        <w:bidi/>
        <w:spacing w:after="180" w:line="360"/>
        <w:jc w:val="right"/>
      </w:pPr>
      <w:r>
        <w:rPr>
          <w:rFonts w:ascii="Arial" w:cs="Arial" w:eastAsia="Arial" w:hAnsi="Arial"/>
          <w:sz w:val="24"/>
          <w:szCs w:val="24"/>
          <w:rtl/>
        </w:rPr>
        <w:t xml:space="preserve">كذلك تبرز إمكانية بناء نماذج تنبؤية للإنتاج Production Forecasting Models مخصصة لطبيعة حقول جنوب العراق ذات المكامن الكربوناتية Carbonate Reservoirs؛ وهو نوع من المكامن الذي يمتلك خصائص جيولوجية وهيدروليكية خاصة تتطلب أساليب نمذجة متخصصة. ومثل هذه النماذج تُحسّن دقة التوقعات الشهرية والسنوية المرفوعة إلى وزارة النفط والشركاء الدوليين.</w:t>
      </w:r>
    </w:p>
    <w:p>
      <w:pPr>
        <w:bidi/>
        <w:spacing w:after="180" w:line="360"/>
        <w:jc w:val="right"/>
      </w:pPr>
      <w:r>
        <w:rPr>
          <w:rFonts w:ascii="Arial" w:cs="Arial" w:eastAsia="Arial" w:hAnsi="Arial"/>
          <w:sz w:val="24"/>
          <w:szCs w:val="24"/>
          <w:rtl/>
        </w:rPr>
        <w:t xml:space="preserve">وفي هذا الإطار، يمثّل نظام DeltaV الموثَّق في الملحق المرجعي لهذا البحث نموذجاً تطبيقياً متكاملاً لمنظومة DCS يُوضّح كيفية بناء بنية التحكم الآلي وجمع البيانات وتشغيل الواجهات التشغيلية بصورة منهجية ومتكاملة، وهو ما يُمثّل المرجع العملي للباحثين والمهندسين في قسم عمليات الآبار.</w:t>
      </w:r>
    </w:p>
    <w:p>
      <w:r>
        <w:br w:type="page"/>
      </w:r>
    </w:p>
    <w:p>
      <w:pPr>
        <w:pBdr>
          <w:bottom w:val="single" w:color="1F497D" w:sz="8" w:space="6"/>
        </w:pBdr>
        <w:bidi/>
        <w:spacing w:before="500" w:after="240"/>
        <w:jc w:val="right"/>
      </w:pPr>
      <w:r>
        <w:rPr>
          <w:rFonts w:ascii="Arial" w:cs="Arial" w:eastAsia="Arial" w:hAnsi="Arial"/>
          <w:b/>
          <w:bCs/>
          <w:color w:val="1F497D"/>
          <w:sz w:val="40"/>
          <w:szCs w:val="40"/>
          <w:rtl/>
        </w:rPr>
        <w:t xml:space="preserve">الخاتمة والتوصيات</w:t>
      </w:r>
    </w:p>
    <w:p>
      <w:pPr>
        <w:spacing w:after="140"/>
      </w:pPr>
      <w:r>
        <w:t xml:space="preserve"/>
      </w:r>
    </w:p>
    <w:p>
      <w:pPr>
        <w:bidi/>
        <w:spacing w:before="360" w:after="180"/>
        <w:jc w:val="right"/>
      </w:pPr>
      <w:r>
        <w:rPr>
          <w:rFonts w:ascii="Arial" w:cs="Arial" w:eastAsia="Arial" w:hAnsi="Arial"/>
          <w:b/>
          <w:bCs/>
          <w:color w:val="2E75B6"/>
          <w:sz w:val="30"/>
          <w:szCs w:val="30"/>
          <w:rtl/>
        </w:rPr>
        <w:t xml:space="preserve">أولاً: خلاصة البحث</w:t>
      </w:r>
    </w:p>
    <w:p>
      <w:pPr>
        <w:bidi/>
        <w:spacing w:after="180" w:line="360"/>
        <w:jc w:val="right"/>
      </w:pPr>
      <w:r>
        <w:rPr>
          <w:rFonts w:ascii="Arial" w:cs="Arial" w:eastAsia="Arial" w:hAnsi="Arial"/>
          <w:sz w:val="24"/>
          <w:szCs w:val="24"/>
          <w:rtl/>
        </w:rPr>
        <w:t xml:space="preserve">استعرض هذا البحث الدور المتنامي والمتشعّب لتقنيات الحاسوب ولغات البرمجة في صناعة النفط والغاز من منظور شامل يُغطّي المراحل الرئيسية لدورة الحياة النفطية. وقد تبيّن بجلاء أن هذه الصناعة الحيوية لم تعد تتصوّر استمرار عملياتها وتطورها دون الاتكاء على البنية الحاسوبية المتكاملة التي تُوفّر البيانات الدقيقة وأدوات التحليل وأنظمة التحكم الآلي والنماذج التنبؤية.</w:t>
      </w:r>
    </w:p>
    <w:p>
      <w:pPr>
        <w:bidi/>
        <w:spacing w:after="180" w:line="360"/>
        <w:jc w:val="right"/>
      </w:pPr>
      <w:r>
        <w:rPr>
          <w:rFonts w:ascii="Arial" w:cs="Arial" w:eastAsia="Arial" w:hAnsi="Arial"/>
          <w:sz w:val="24"/>
          <w:szCs w:val="24"/>
          <w:rtl/>
        </w:rPr>
        <w:t xml:space="preserve">فمن الجيل الأول من الحاسبات التي استُعين بها لمعالجة البيانات الزلزالية في خمسينيات القرن الماضي، إلى منظومات الذكاء الاصطناعي المتكاملة التي تُشغّل آلاف الآبار ذاتياً وتتنبأ بالأعطال قبل وقوعها بساعات وتُحسّن معدلات الإنتاج في الوقت الحقيقي — نقطع مسافة مذهلة تعكس التسارع الاستثنائي لوتيرة التطور التقني في هذا القطاع الذي يُعدّ شرياناً حيوياً للاقتصاد العالمي.</w:t>
      </w:r>
    </w:p>
    <w:p>
      <w:pPr>
        <w:bidi/>
        <w:spacing w:after="180" w:line="360"/>
        <w:jc w:val="right"/>
      </w:pPr>
      <w:r>
        <w:rPr>
          <w:rFonts w:ascii="Arial" w:cs="Arial" w:eastAsia="Arial" w:hAnsi="Arial"/>
          <w:sz w:val="24"/>
          <w:szCs w:val="24"/>
          <w:rtl/>
        </w:rPr>
        <w:t xml:space="preserve">وقد كشف البحث عن ترابط وثيق بين المجالات الأربعة المحورية التي تناولها؛ فأنظمة SCADA والتحكم تُمثّل الطبقة الأساسية لجمع البيانات ومراقبة العمليات وتُغذّي نماذج المحاكاة الجيولوجية بالبيانات الحية، والنماذج الجيولوجية بدورها تُدمَج مع خوارزميات الذكاء الاصطناعي لإنتاج تنبؤات أدق وقرارات استثمارية أرشد. أما تحليل بيانات الإنتاج والخسائر فيقع في قمة الهرم التشغيلي إذ يستفيد من مخرجات الطبقات الثلاث السابقة ويُحوّلها إلى رؤى قابلة للتطبيق الفوري على أرض الواقع.</w:t>
      </w:r>
    </w:p>
    <w:p>
      <w:pPr>
        <w:bidi/>
        <w:spacing w:before="360" w:after="180"/>
        <w:jc w:val="right"/>
      </w:pPr>
      <w:r>
        <w:rPr>
          <w:rFonts w:ascii="Arial" w:cs="Arial" w:eastAsia="Arial" w:hAnsi="Arial"/>
          <w:b/>
          <w:bCs/>
          <w:color w:val="2E75B6"/>
          <w:sz w:val="30"/>
          <w:szCs w:val="30"/>
          <w:rtl/>
        </w:rPr>
        <w:t xml:space="preserve">ثانياً: أبرز النتائج</w:t>
      </w:r>
    </w:p>
    <w:p>
      <w:pPr>
        <w:pStyle w:val="ListParagraph"/>
        <w:numPr>
          <w:ilvl w:val="0"/>
          <w:numId w:val="2"/>
        </w:numPr>
        <w:bidi/>
        <w:spacing w:after="120" w:line="340"/>
        <w:jc w:val="right"/>
      </w:pPr>
      <w:r>
        <w:rPr>
          <w:rFonts w:ascii="Arial" w:cs="Arial" w:eastAsia="Arial" w:hAnsi="Arial"/>
          <w:sz w:val="24"/>
          <w:szCs w:val="24"/>
          <w:rtl/>
        </w:rPr>
        <w:t xml:space="preserve">أنظمة SCADA وDCS باتت حاضرة في كل منشأة نفطية حديثة، وتطورت من أدوات مراقبة وإشراف بسيطة إلى منصات ذكاء تشغيلي متكاملة توفر قدرات التحكم التنبؤي والتكيّفي، ويُمثّل نظام DeltaV من Emerson نموذجاً بارزاً لهذه المنظومات المتكاملة.</w:t>
      </w:r>
    </w:p>
    <w:p>
      <w:pPr>
        <w:pStyle w:val="ListParagraph"/>
        <w:numPr>
          <w:ilvl w:val="0"/>
          <w:numId w:val="2"/>
        </w:numPr>
        <w:bidi/>
        <w:spacing w:after="120" w:line="340"/>
        <w:jc w:val="right"/>
      </w:pPr>
      <w:r>
        <w:rPr>
          <w:rFonts w:ascii="Arial" w:cs="Arial" w:eastAsia="Arial" w:hAnsi="Arial"/>
          <w:sz w:val="24"/>
          <w:szCs w:val="24"/>
          <w:rtl/>
        </w:rPr>
        <w:t xml:space="preserve">أدوات المحاكاة الجيولوجية كـ Petrel وEclipse وغيرها حوّلت عملية الاستكشاف وتطوير المكامن من فن يعتمد على خبرة الأفراد إلى علم دقيق يستند إلى نماذج رقمية قابلة للاختبار والتحسين والتحديث المستمر.</w:t>
      </w:r>
    </w:p>
    <w:p>
      <w:pPr>
        <w:pStyle w:val="ListParagraph"/>
        <w:numPr>
          <w:ilvl w:val="0"/>
          <w:numId w:val="2"/>
        </w:numPr>
        <w:bidi/>
        <w:spacing w:after="120" w:line="340"/>
        <w:jc w:val="right"/>
      </w:pPr>
      <w:r>
        <w:rPr>
          <w:rFonts w:ascii="Arial" w:cs="Arial" w:eastAsia="Arial" w:hAnsi="Arial"/>
          <w:sz w:val="24"/>
          <w:szCs w:val="24"/>
          <w:rtl/>
        </w:rPr>
        <w:t xml:space="preserve">الذكاء الاصطناعي والتعلم الآلي يُمثّلان الموجة الأقوى والأشمل في التحول الرقمي، وهي موجة لا تزال في مراحلها الأولى في كثير من شركات النفط الإقليمية رغم ثبوت فعاليتها العالية في الشركات الدولية الكبرى.</w:t>
      </w:r>
    </w:p>
    <w:p>
      <w:pPr>
        <w:pStyle w:val="ListParagraph"/>
        <w:numPr>
          <w:ilvl w:val="0"/>
          <w:numId w:val="2"/>
        </w:numPr>
        <w:bidi/>
        <w:spacing w:after="120" w:line="340"/>
        <w:jc w:val="right"/>
      </w:pPr>
      <w:r>
        <w:rPr>
          <w:rFonts w:ascii="Arial" w:cs="Arial" w:eastAsia="Arial" w:hAnsi="Arial"/>
          <w:sz w:val="24"/>
          <w:szCs w:val="24"/>
          <w:rtl/>
        </w:rPr>
        <w:t xml:space="preserve">تحليل بيانات الإنتاج والخسائر يُتيح فرصاً حقيقية لتحسين الإيرادات بتكاليف أقل نسبياً مقارنةً بمشاريع الحفر والتطوير الجيولوجي؛ إذ يكفي أحياناً كشف خسارة منهجية خفية وعلاجها لرفع الإنتاج الكلي بنسبة ملموسة دون أي نفقات رأسمالية.</w:t>
      </w:r>
    </w:p>
    <w:p>
      <w:pPr>
        <w:pStyle w:val="ListParagraph"/>
        <w:numPr>
          <w:ilvl w:val="0"/>
          <w:numId w:val="2"/>
        </w:numPr>
        <w:bidi/>
        <w:spacing w:after="120" w:line="340"/>
        <w:jc w:val="right"/>
      </w:pPr>
      <w:r>
        <w:rPr>
          <w:rFonts w:ascii="Arial" w:cs="Arial" w:eastAsia="Arial" w:hAnsi="Arial"/>
          <w:sz w:val="24"/>
          <w:szCs w:val="24"/>
          <w:rtl/>
        </w:rPr>
        <w:t xml:space="preserve">الأمن السيبراني الصناعي ICS Security غدا مطلباً استراتيجياً لا ترفاً تقنياً، خاصةً مع تصاعد الترابط بين الأنظمة الصناعية والشبكات الخارجية ومتطلبات التحول الرقمي الشامل.</w:t>
      </w:r>
    </w:p>
    <w:p>
      <w:pPr>
        <w:pStyle w:val="ListParagraph"/>
        <w:numPr>
          <w:ilvl w:val="0"/>
          <w:numId w:val="2"/>
        </w:numPr>
        <w:bidi/>
        <w:spacing w:after="120" w:line="340"/>
        <w:jc w:val="right"/>
      </w:pPr>
      <w:r>
        <w:rPr>
          <w:rFonts w:ascii="Arial" w:cs="Arial" w:eastAsia="Arial" w:hAnsi="Arial"/>
          <w:sz w:val="24"/>
          <w:szCs w:val="24"/>
          <w:rtl/>
        </w:rPr>
        <w:t xml:space="preserve">لغات البرمجة — ولا سيما Python وMAT LAB وSQL — غدت أدوات يومية في يد مهندس النفط الحديث إلى جانب معرفته بالجيولوجيا والهندسة البترولية التقليدية، وهو ما يعكس التلاقي المتسارع بين تخصصات علوم الحاسوب والهندسة النفطية.</w:t>
      </w:r>
    </w:p>
    <w:p>
      <w:pPr>
        <w:bidi/>
        <w:spacing w:before="360" w:after="180"/>
        <w:jc w:val="right"/>
      </w:pPr>
      <w:r>
        <w:rPr>
          <w:rFonts w:ascii="Arial" w:cs="Arial" w:eastAsia="Arial" w:hAnsi="Arial"/>
          <w:b/>
          <w:bCs/>
          <w:color w:val="2E75B6"/>
          <w:sz w:val="30"/>
          <w:szCs w:val="30"/>
          <w:rtl/>
        </w:rPr>
        <w:t xml:space="preserve">ثالثاً: التوصيات الاستراتيجية والتقنية</w:t>
      </w:r>
    </w:p>
    <w:p>
      <w:pPr>
        <w:bidi/>
        <w:spacing w:after="180" w:line="360"/>
        <w:jc w:val="right"/>
      </w:pPr>
      <w:r>
        <w:rPr>
          <w:rFonts w:ascii="Arial" w:cs="Arial" w:eastAsia="Arial" w:hAnsi="Arial"/>
          <w:sz w:val="24"/>
          <w:szCs w:val="24"/>
          <w:rtl/>
        </w:rPr>
        <w:t xml:space="preserve">بناءً على نتائج البحث وخلاصة التحليل، يُوصي الباحث بجملة من الإجراءات الاستراتيجية والتقنية التي يرى في تبنّيها خطوات عملية نحو تعزيز الكفاءة التشغيلية في شركة نفط البصرة وترسيخ مكانتها في مصاف شركات النفط الرقمية المتقدمة:</w:t>
      </w:r>
    </w:p>
    <w:p>
      <w:pPr>
        <w:pStyle w:val="ListParagraph"/>
        <w:numPr>
          <w:ilvl w:val="0"/>
          <w:numId w:val="2"/>
        </w:numPr>
        <w:bidi/>
        <w:spacing w:after="120" w:line="340"/>
        <w:jc w:val="right"/>
      </w:pPr>
      <w:r>
        <w:rPr>
          <w:rFonts w:ascii="Arial" w:cs="Arial" w:eastAsia="Arial" w:hAnsi="Arial"/>
          <w:sz w:val="24"/>
          <w:szCs w:val="24"/>
          <w:rtl/>
        </w:rPr>
        <w:t xml:space="preserve">إنشاء مركز عمليات متكامل Integrated Operations Center يجمع بيانات جميع الحقول في منصة موحدة ويوفّر رؤية لحظية شاملة للقيادة التشغيلية، مع إعطاء الأولوية لحقل رميلة بحكم حجمه وتعقيده وأهميته الإنتاجية الاستراتيجية.</w:t>
      </w:r>
    </w:p>
    <w:p>
      <w:pPr>
        <w:pStyle w:val="ListParagraph"/>
        <w:numPr>
          <w:ilvl w:val="0"/>
          <w:numId w:val="2"/>
        </w:numPr>
        <w:bidi/>
        <w:spacing w:after="120" w:line="340"/>
        <w:jc w:val="right"/>
      </w:pPr>
      <w:r>
        <w:rPr>
          <w:rFonts w:ascii="Arial" w:cs="Arial" w:eastAsia="Arial" w:hAnsi="Arial"/>
          <w:sz w:val="24"/>
          <w:szCs w:val="24"/>
          <w:rtl/>
        </w:rPr>
        <w:t xml:space="preserve">وضع برنامج مؤسسي شامل لبناء القدرات في مجال علوم البيانات Data Science وتحليل بيانات الإنتاج Production Analytics، بحيث تمتلك أقسام العمليات كفاءات داخلية قادرة على استثمار البيانات المتاحة بدلاً من الاعتماد الكامل على الاستشارات الخارجية.</w:t>
      </w:r>
    </w:p>
    <w:p>
      <w:pPr>
        <w:pStyle w:val="ListParagraph"/>
        <w:numPr>
          <w:ilvl w:val="0"/>
          <w:numId w:val="2"/>
        </w:numPr>
        <w:bidi/>
        <w:spacing w:after="120" w:line="340"/>
        <w:jc w:val="right"/>
      </w:pPr>
      <w:r>
        <w:rPr>
          <w:rFonts w:ascii="Arial" w:cs="Arial" w:eastAsia="Arial" w:hAnsi="Arial"/>
          <w:sz w:val="24"/>
          <w:szCs w:val="24"/>
          <w:rtl/>
        </w:rPr>
        <w:t xml:space="preserve">اعتماد معيار موحّد لتصنيف وتوثيق بيانات الخسائر الإنتاجية Loss Data Standard يُطبَّق على مستوى الشركة كاملاً، بما يُتيح لاحقاً تحليلاً إحصائياً دقيقاً لأسباب الخسائر وترتيب أولويات المعالجة وفق الأثر الكمي المثبَّت بالبيانات.</w:t>
      </w:r>
    </w:p>
    <w:p>
      <w:pPr>
        <w:pStyle w:val="ListParagraph"/>
        <w:numPr>
          <w:ilvl w:val="0"/>
          <w:numId w:val="2"/>
        </w:numPr>
        <w:bidi/>
        <w:spacing w:after="120" w:line="340"/>
        <w:jc w:val="right"/>
      </w:pPr>
      <w:r>
        <w:rPr>
          <w:rFonts w:ascii="Arial" w:cs="Arial" w:eastAsia="Arial" w:hAnsi="Arial"/>
          <w:sz w:val="24"/>
          <w:szCs w:val="24"/>
          <w:rtl/>
        </w:rPr>
        <w:t xml:space="preserve">الاستثمار في بنية تحتية لأمن المعلومات الصناعي ICS Security بالتوازي مع مشاريع التحول الرقمي، باعتماد إطار IEC 62443 وإجراء تقييم دوري للثغرات في أنظمة SCADA والتحكم والتحديث الدوري للبرمجيات.</w:t>
      </w:r>
    </w:p>
    <w:p>
      <w:pPr>
        <w:pStyle w:val="ListParagraph"/>
        <w:numPr>
          <w:ilvl w:val="0"/>
          <w:numId w:val="2"/>
        </w:numPr>
        <w:bidi/>
        <w:spacing w:after="120" w:line="340"/>
        <w:jc w:val="right"/>
      </w:pPr>
      <w:r>
        <w:rPr>
          <w:rFonts w:ascii="Arial" w:cs="Arial" w:eastAsia="Arial" w:hAnsi="Arial"/>
          <w:sz w:val="24"/>
          <w:szCs w:val="24"/>
          <w:rtl/>
        </w:rPr>
        <w:t xml:space="preserve">دراسة جدوى تبنّي تقنية التوأم الرقمي Digital Twin لقطاع من حقل رميلة، بما يُتيح محاكاة قرارات الإنتاج والصيانة رقمياً قبل تطبيقها ميدانياً ويُقلّص تكاليف القرارات غير المدروسة.</w:t>
      </w:r>
    </w:p>
    <w:p>
      <w:pPr>
        <w:pStyle w:val="ListParagraph"/>
        <w:numPr>
          <w:ilvl w:val="0"/>
          <w:numId w:val="2"/>
        </w:numPr>
        <w:bidi/>
        <w:spacing w:after="120" w:line="340"/>
        <w:jc w:val="right"/>
      </w:pPr>
      <w:r>
        <w:rPr>
          <w:rFonts w:ascii="Arial" w:cs="Arial" w:eastAsia="Arial" w:hAnsi="Arial"/>
          <w:sz w:val="24"/>
          <w:szCs w:val="24"/>
          <w:rtl/>
        </w:rPr>
        <w:t xml:space="preserve">إطلاق مبادرة تعاون مع جامعة البصرة وكليات الهندسة لتطوير برامج بحثية مشتركة في مجال تطبيق الذكاء الاصطناعي على بيانات الحقول العراقية، مما يُسهم في بناء معرفة تقنية محلية ويُقلّص الفجوة مع الشركات الدولية الرائدة.</w:t>
      </w:r>
    </w:p>
    <w:p>
      <w:pPr>
        <w:pStyle w:val="ListParagraph"/>
        <w:numPr>
          <w:ilvl w:val="0"/>
          <w:numId w:val="2"/>
        </w:numPr>
        <w:bidi/>
        <w:spacing w:after="120" w:line="340"/>
        <w:jc w:val="right"/>
      </w:pPr>
      <w:r>
        <w:rPr>
          <w:rFonts w:ascii="Arial" w:cs="Arial" w:eastAsia="Arial" w:hAnsi="Arial"/>
          <w:sz w:val="24"/>
          <w:szCs w:val="24"/>
          <w:rtl/>
        </w:rPr>
        <w:t xml:space="preserve">وضع خارطة طريق Digital Roadmap واضحة المعالم للتحول الرقمي تُحدّد الأولويات والمراحل والميزانيات والمؤشرات القابلة للقياس، بحيث يصبح التحول الرقمي مشروعاً مؤسسياً منهجياً لا مجرد مبادرات فردية متفرقة.</w:t>
      </w:r>
    </w:p>
    <w:p>
      <w:pPr>
        <w:spacing w:after="140"/>
      </w:pPr>
      <w:r>
        <w:t xml:space="preserve"/>
      </w:r>
    </w:p>
    <w:p>
      <w:pPr>
        <w:bidi/>
        <w:spacing w:after="180" w:line="360"/>
        <w:jc w:val="right"/>
      </w:pPr>
      <w:r>
        <w:rPr>
          <w:rFonts w:ascii="Arial" w:cs="Arial" w:eastAsia="Arial" w:hAnsi="Arial"/>
          <w:sz w:val="24"/>
          <w:szCs w:val="24"/>
          <w:rtl/>
        </w:rPr>
        <w:t xml:space="preserve">ويختتم الباحث بالتأكيد على أن التحول الرقمي في صناعة النفط ليس خياراً بين بدائل، بل حتمية استراتيجية تفرضها متطلبات التنافسية العالمية وضرورات تحسين الكفاءة في ظل تذبذب أسعار النفط وتصاعد تكاليف الإنتاج. وإن شركة نفط البصرة، بما تمتلكه من ثروة نفطية هائلة وكوادر بشرية مؤهلة ومتنامية الخبرة، تقف على أعتاب مرحلة رقمية واعدة يمكن أن ترفع كفاءتها التشغيلية بصورة ملموسة وتُعزّز مكانتها بوصفها شريكاً موثوقاً ومساهماً فاعلاً في دعم الاقتصاد الوطني العراقي.</w:t>
      </w:r>
    </w:p>
    <w:sectPr>
      <w:headerReference w:type="default" r:id="rId6"/>
      <w:footerReference w:type="default" r:id="rId7"/>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Pr>
      <w:t xml:space="preserve">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tl/>
      </w:rPr>
      <w:t xml:space="preserve">  صفحة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4"/>
      </w:pBdr>
      <w:bidi/>
      <w:spacing w:after="120"/>
      <w:jc w:val="center"/>
    </w:pPr>
    <w:r>
      <w:rPr>
        <w:rFonts w:ascii="Arial" w:cs="Arial" w:eastAsia="Arial" w:hAnsi="Arial"/>
        <w:color w:val="1F497D"/>
        <w:sz w:val="18"/>
        <w:szCs w:val="18"/>
        <w:rtl/>
      </w:rPr>
      <w:t xml:space="preserve">دور الحاسبات وتأثيرها في المجال النفطي  |  شركة نفط البصرة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500" w:after="240"/>
      <w:outlineLvl w:val="0"/>
    </w:pPr>
    <w:rPr>
      <w:rFonts w:ascii="Arial" w:cs="Arial" w:eastAsia="Arial" w:hAnsi="Arial"/>
      <w:b/>
      <w:bCs/>
      <w:color w:val="1F497D"/>
      <w:sz w:val="40"/>
      <w:szCs w:val="40"/>
    </w:rPr>
  </w:style>
  <w:style w:type="paragraph" w:styleId="Heading2">
    <w:name w:val="Heading 2"/>
    <w:basedOn w:val="Normal"/>
    <w:next w:val="Normal"/>
    <w:qFormat/>
    <w:pPr>
      <w:bidi/>
      <w:spacing w:before="360" w:after="180"/>
      <w:outlineLvl w:val="1"/>
    </w:pPr>
    <w:rPr>
      <w:rFonts w:ascii="Arial" w:cs="Arial" w:eastAsia="Arial" w:hAnsi="Arial"/>
      <w:b/>
      <w:bCs/>
      <w:color w:val="2E75B6"/>
      <w:sz w:val="30"/>
      <w:szCs w:val="30"/>
    </w:rPr>
  </w:style>
  <w:style w:type="paragraph" w:styleId="Heading3">
    <w:name w:val="Heading 3"/>
    <w:basedOn w:val="Normal"/>
    <w:next w:val="Normal"/>
    <w:qFormat/>
    <w:pPr>
      <w:bidi/>
      <w:spacing w:before="240" w:after="120"/>
      <w:outlineLvl w:val="2"/>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2026-03-30T06:35:05.212Z</dcterms:created>
  <dcterms:modified xsi:type="dcterms:W3CDTF">2026-03-30T06:35:05.213Z</dcterms:modified>
</cp:coreProperties>
</file>

<file path=docProps/custom.xml><?xml version="1.0" encoding="utf-8"?>
<Properties xmlns="http://schemas.openxmlformats.org/officeDocument/2006/custom-properties" xmlns:vt="http://schemas.openxmlformats.org/officeDocument/2006/docPropsVTypes"/>
</file>