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200"/>
        <w:jc w:val="center"/>
      </w:pPr>
      <w:r>
        <w:rPr>
          <w:rFonts w:ascii="Calibri" w:cs="Calibri" w:eastAsia="Calibri" w:hAnsi="Calibri"/>
          <w:b/>
          <w:bCs/>
          <w:color w:val="1F4E79"/>
          <w:sz w:val="72"/>
          <w:szCs w:val="72"/>
        </w:rPr>
        <w:t xml:space="preserve">BUSINESS PLAN</w:t>
      </w:r>
    </w:p>
    <w:p>
      <w:pPr>
        <w:spacing w:after="200"/>
        <w:jc w:val="center"/>
      </w:pPr>
      <w:r>
        <w:rPr>
          <w:rFonts w:ascii="Calibri" w:cs="Calibri" w:eastAsia="Calibri" w:hAnsi="Calibri"/>
          <w:color w:val="2E75B6"/>
          <w:sz w:val="48"/>
          <w:szCs w:val="48"/>
        </w:rPr>
        <w:t xml:space="preserve">&amp;</w:t>
      </w:r>
    </w:p>
    <w:p>
      <w:pPr>
        <w:spacing w:after="600"/>
        <w:jc w:val="center"/>
      </w:pPr>
      <w:r>
        <w:rPr>
          <w:rFonts w:ascii="Calibri" w:cs="Calibri" w:eastAsia="Calibri" w:hAnsi="Calibri"/>
          <w:b/>
          <w:bCs/>
          <w:color w:val="1F4E79"/>
          <w:sz w:val="52"/>
          <w:szCs w:val="52"/>
        </w:rPr>
        <w:t xml:space="preserve">INVESTOR PROPOSAL</w:t>
      </w:r>
    </w:p>
    <w:p>
      <w:pPr>
        <w:pBdr>
          <w:bottom w:val="single" w:color="2E75B6" w:sz="12" w:space="8"/>
        </w:pBdr>
        <w:spacing w:after="400"/>
        <w:jc w:val="center"/>
      </w:pPr>
      <w:r>
        <w:t xml:space="preserve"/>
      </w:r>
    </w:p>
    <w:p>
      <w:pPr>
        <w:spacing w:after="160"/>
        <w:jc w:val="center"/>
      </w:pPr>
      <w:r>
        <w:rPr>
          <w:rFonts w:ascii="Calibri" w:cs="Calibri" w:eastAsia="Calibri" w:hAnsi="Calibri"/>
          <w:i/>
          <w:iCs/>
          <w:color w:val="2E75B6"/>
          <w:sz w:val="36"/>
          <w:szCs w:val="36"/>
        </w:rPr>
        <w:t xml:space="preserve">An Artificial Intelligence Solutions Company</w:t>
      </w:r>
    </w:p>
    <w:p>
      <w:pPr>
        <w:spacing w:after="2400"/>
        <w:jc w:val="center"/>
      </w:pPr>
      <w:r>
        <w:rPr>
          <w:rFonts w:ascii="Calibri" w:cs="Calibri" w:eastAsia="Calibri" w:hAnsi="Calibri"/>
          <w:i/>
          <w:iCs/>
          <w:color w:val="595959"/>
          <w:sz w:val="32"/>
          <w:szCs w:val="32"/>
        </w:rPr>
        <w:t xml:space="preserve">Built for the Iraqi Market</w:t>
      </w:r>
    </w:p>
    <w:p>
      <w:pPr>
        <w:pBdr>
          <w:top w:val="single" w:color="2E75B6" w:sz="12" w:space="8"/>
        </w:pBdr>
        <w:spacing w:after="300"/>
        <w:jc w:val="center"/>
      </w:pPr>
      <w:r>
        <w:t xml:space="preserve"/>
      </w:r>
    </w:p>
    <w:p>
      <w:pPr>
        <w:spacing w:after="120"/>
        <w:jc w:val="center"/>
      </w:pPr>
      <w:r>
        <w:rPr>
          <w:rFonts w:ascii="Calibri" w:cs="Calibri" w:eastAsia="Calibri" w:hAnsi="Calibri"/>
          <w:b/>
          <w:bCs/>
          <w:color w:val="595959"/>
          <w:sz w:val="24"/>
          <w:szCs w:val="24"/>
        </w:rPr>
        <w:t xml:space="preserve">CONFIDENTIAL</w:t>
      </w:r>
    </w:p>
    <w:p>
      <w:pPr>
        <w:spacing w:after="200"/>
        <w:jc w:val="center"/>
      </w:pPr>
      <w:r>
        <w:rPr>
          <w:rFonts w:ascii="Calibri" w:cs="Calibri" w:eastAsia="Calibri" w:hAnsi="Calibri"/>
          <w:i/>
          <w:iCs/>
          <w:color w:val="595959"/>
          <w:sz w:val="22"/>
          <w:szCs w:val="22"/>
        </w:rPr>
        <w:t xml:space="preserve">Prepared for Review by Prospective Investment Partners</w:t>
      </w:r>
    </w:p>
    <w:p>
      <w:pPr>
        <w:jc w:val="center"/>
      </w:pPr>
      <w:r>
        <w:rPr>
          <w:rFonts w:ascii="Calibri" w:cs="Calibri" w:eastAsia="Calibri" w:hAnsi="Calibri"/>
          <w:color w:val="595959"/>
          <w:sz w:val="20"/>
          <w:szCs w:val="20"/>
        </w:rPr>
        <w:t xml:space="preserve">Version 1.0</w:t>
      </w:r>
    </w:p>
    <w:p>
      <w:r>
        <w:br w:type="page"/>
      </w:r>
    </w:p>
    <w:p>
      <w:pPr>
        <w:spacing w:after="400" w:before="400"/>
        <w:jc w:val="center"/>
      </w:pPr>
      <w:r>
        <w:rPr>
          <w:rFonts w:ascii="Calibri" w:cs="Calibri" w:eastAsia="Calibri" w:hAnsi="Calibri"/>
          <w:b/>
          <w:bCs/>
          <w:color w:val="1F4E79"/>
          <w:sz w:val="40"/>
          <w:szCs w:val="40"/>
        </w:rPr>
        <w:t xml:space="preserve">TABLE OF CONTENTS</w:t>
      </w:r>
    </w:p>
    <w:p>
      <w:pPr>
        <w:pBdr>
          <w:bottom w:val="single" w:color="2E75B6" w:sz="8" w:space="4"/>
        </w:pBdr>
        <w:spacing w:after="300"/>
      </w:pPr>
      <w:r>
        <w:t xml:space="preserve"/>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240" w:before="400"/>
      </w:pPr>
      <w:r>
        <w:rPr>
          <w:rFonts w:ascii="Calibri" w:cs="Calibri" w:eastAsia="Calibri" w:hAnsi="Calibri"/>
          <w:b/>
          <w:bCs/>
          <w:color w:val="1F4E79"/>
          <w:sz w:val="36"/>
          <w:szCs w:val="36"/>
        </w:rPr>
        <w:t xml:space="preserve">Executive Summary</w:t>
      </w:r>
    </w:p>
    <w:p>
      <w:pPr>
        <w:pBdr>
          <w:bottom w:val="single" w:color="2E75B6" w:sz="6" w:space="1"/>
        </w:pBdr>
        <w:spacing w:after="200" w:before="120"/>
      </w:pPr>
      <w:r>
        <w:t xml:space="preserve"/>
      </w:r>
    </w:p>
    <w:p>
      <w:pPr>
        <w:spacing w:after="160" w:line="300"/>
        <w:jc w:val="both"/>
      </w:pPr>
      <w:r>
        <w:rPr>
          <w:rFonts w:ascii="Calibri" w:cs="Calibri" w:eastAsia="Calibri" w:hAnsi="Calibri"/>
          <w:sz w:val="22"/>
          <w:szCs w:val="22"/>
        </w:rPr>
        <w:t xml:space="preserve">This document presents a complete business plan for the establishment of an Artificial Intelligence solutions company based in Iraq, designed to serve the rapidly emerging demand for practical AI capabilities across the country’s commercial sectors. The plan consolidates eleven distinct planning phases covering vision and positioning, company establishment, products and services, team structure, physical infrastructure, financial projections, investment architecture, market entry strategy, risk management, growth roadmap, and investor engagement materials.</w:t>
      </w:r>
    </w:p>
    <w:p>
      <w:pPr>
        <w:spacing w:after="160" w:line="300"/>
        <w:jc w:val="both"/>
      </w:pPr>
      <w:r>
        <w:rPr>
          <w:rFonts w:ascii="Calibri" w:cs="Calibri" w:eastAsia="Calibri" w:hAnsi="Calibri"/>
          <w:sz w:val="22"/>
          <w:szCs w:val="22"/>
        </w:rPr>
        <w:t xml:space="preserve">The opportunity is defined by a specific and time-sensitive market condition. Iraqi businesses across manufacturing, healthcare, retail, and real estate operate today with minimal AI support and almost no access to locally delivered solutions tailored to their language, operational reality, and regulatory environment. Global and regional AI adoption is accelerating rapidly, with the Gulf Cooperation Council now reporting eighty-four percent of organizations using AI in at least one business function. Iraq sits at the beginning of this adoption curve. The company that establishes market leadership in the next eighteen to twenty-four months will define the sector for the decade that follows.</w:t>
      </w:r>
    </w:p>
    <w:p>
      <w:pPr>
        <w:spacing w:after="160" w:line="300"/>
        <w:jc w:val="both"/>
      </w:pPr>
      <w:r>
        <w:rPr>
          <w:rFonts w:ascii="Calibri" w:cs="Calibri" w:eastAsia="Calibri" w:hAnsi="Calibri"/>
          <w:sz w:val="22"/>
          <w:szCs w:val="22"/>
        </w:rPr>
        <w:t xml:space="preserve">The proposed company is structured as a lean five-person operation, housed within an existing workshop converted to professional office use, capable of delivering a focused portfolio of services: business process automation, AI-powered websites and chatbots, custom enterprise resource planning systems, document intelligence, and offline camera-based monitoring solutions. Each of these services is chosen deliberately for its combination of clear market demand, achievable technical scope, and recurring revenue potential. The company’s defining competitive advantages are its local presence, its commitment to fully customized delivery rather than generic software, and its architectural decision to run AI workloads on local hardware rather than cloud infrastructure. This last point is not a technical detail but a strategic one: for Iraqi clinics, factories, law firms, and government-adjacent businesses, keeping sensitive data on-premise is often a requirement rather than a preference.</w:t>
      </w:r>
    </w:p>
    <w:p>
      <w:pPr>
        <w:spacing w:after="160" w:line="300"/>
        <w:jc w:val="both"/>
      </w:pPr>
      <w:r>
        <w:rPr>
          <w:rFonts w:ascii="Calibri" w:cs="Calibri" w:eastAsia="Calibri" w:hAnsi="Calibri"/>
          <w:sz w:val="22"/>
          <w:szCs w:val="22"/>
        </w:rPr>
        <w:t xml:space="preserve">Total capital required to fund twelve months of operations is thirty-eight thousand five hundred United States dollars. Of this amount, approximately fifteen percent is provided by the founder in the form of physical infrastructure, utilities, and daily management, with the remaining cash requirement of twenty-six thousand dollars sought from two investment partners contributing thirteen thousand dollars each. Monthly operating costs are projected at three thousand dollars, positioning the business for break-even at approximately month five under the realistic growth scenario and full investment recovery between months fourteen and sixteen.</w:t>
      </w:r>
    </w:p>
    <w:p>
      <w:pPr>
        <w:spacing w:after="160" w:line="300"/>
        <w:jc w:val="both"/>
      </w:pPr>
      <w:r>
        <w:rPr>
          <w:rFonts w:ascii="Calibri" w:cs="Calibri" w:eastAsia="Calibri" w:hAnsi="Calibri"/>
          <w:sz w:val="22"/>
          <w:szCs w:val="22"/>
        </w:rPr>
        <w:t xml:space="preserve">The investment structure protects all parties. Year one operates on a quarterly profit-share basis, providing investors with clean, predictable returns without the complexity of formal equity management during the earliest stage. At month twelve, subject to mutual confirmation, the arrangement converts to a permanent equity structure with the founder retaining a forty percent position, each investor holding twenty-eight percent, and four percent reserved for a performance-based team equity pool. Quarterly profit distributions continue from month six onward, with projected investor returns on the realistic scenario exceeding one hundred fifty percent within the first eighteen months.</w:t>
      </w:r>
    </w:p>
    <w:p>
      <w:pPr>
        <w:spacing w:after="160" w:line="300"/>
        <w:jc w:val="both"/>
      </w:pPr>
      <w:r>
        <w:rPr>
          <w:rFonts w:ascii="Calibri" w:cs="Calibri" w:eastAsia="Calibri" w:hAnsi="Calibri"/>
          <w:sz w:val="22"/>
          <w:szCs w:val="22"/>
        </w:rPr>
        <w:t xml:space="preserve">The remainder of this document develops each element of the plan in full detail, including specific hardware specifications, per-role salary ranges, weekly implementation timelines, sample client approach scripts, quantified risk mitigation strategies, and a complete investor pitch deck structure. The plan is designed to be actionable in its current form: every number, timeline, and strategic choice is grounded in researched market data, adapted to the specific realities of the Iraqi operating environment, and sequenced for execution beginning immediately upon investor commitment.</w:t>
      </w:r>
    </w:p>
    <w:p>
      <w:pPr>
        <w:pBdr>
          <w:left w:val="single" w:color="2E75B6" w:sz="24" w:space="12"/>
        </w:pBdr>
        <w:spacing w:after="160" w:before="160" w:line="300"/>
        <w:ind w:left="360" w:right="360"/>
      </w:pPr>
      <w:r>
        <w:rPr>
          <w:rFonts w:ascii="Calibri" w:cs="Calibri" w:eastAsia="Calibri" w:hAnsi="Calibri"/>
          <w:i/>
          <w:iCs/>
          <w:color w:val="2E75B6"/>
          <w:sz w:val="22"/>
          <w:szCs w:val="22"/>
        </w:rPr>
        <w:t xml:space="preserve">The central proposition of this business is simple: Iraq’s AI market is wide open, its businesses are ready, and the competitive window will not remain open indefinitely. This plan is the roadmap for entering that window with discipline, speed, and a structure designed to succeed.</w:t>
      </w:r>
    </w:p>
    <w:p>
      <w:r>
        <w:br w:type="page"/>
      </w:r>
    </w:p>
    <w:p>
      <w:pPr>
        <w:pStyle w:val="Heading1"/>
        <w:pageBreakBefore/>
        <w:spacing w:after="240" w:before="400"/>
      </w:pPr>
      <w:r>
        <w:rPr>
          <w:rFonts w:ascii="Calibri" w:cs="Calibri" w:eastAsia="Calibri" w:hAnsi="Calibri"/>
          <w:b/>
          <w:bCs/>
          <w:color w:val="1F4E79"/>
          <w:sz w:val="36"/>
          <w:szCs w:val="36"/>
        </w:rPr>
        <w:t xml:space="preserve">Phase 1 — Foundation</w:t>
      </w:r>
    </w:p>
    <w:p>
      <w:pPr>
        <w:pBdr>
          <w:left w:val="single" w:color="2E75B6" w:sz="24" w:space="12"/>
        </w:pBdr>
        <w:spacing w:after="160" w:before="160" w:line="300"/>
        <w:ind w:left="360" w:right="360"/>
      </w:pPr>
      <w:r>
        <w:rPr>
          <w:rFonts w:ascii="Calibri" w:cs="Calibri" w:eastAsia="Calibri" w:hAnsi="Calibri"/>
          <w:i/>
          <w:iCs/>
          <w:color w:val="2E75B6"/>
          <w:sz w:val="22"/>
          <w:szCs w:val="22"/>
        </w:rPr>
        <w:t xml:space="preserve">Vision, mission, business model, market opportunity, and competitive advantage — the strategic core upon which every operational decision is built.</w:t>
      </w:r>
    </w:p>
    <w:p>
      <w:pPr>
        <w:pStyle w:val="Heading2"/>
        <w:spacing w:after="160" w:before="280"/>
      </w:pPr>
      <w:r>
        <w:rPr>
          <w:rFonts w:ascii="Calibri" w:cs="Calibri" w:eastAsia="Calibri" w:hAnsi="Calibri"/>
          <w:b/>
          <w:bCs/>
          <w:color w:val="2E75B6"/>
          <w:sz w:val="28"/>
          <w:szCs w:val="28"/>
        </w:rPr>
        <w:t xml:space="preserve">1.1 Vision and Mission</w:t>
      </w:r>
    </w:p>
    <w:p>
      <w:pPr>
        <w:pStyle w:val="Heading3"/>
        <w:spacing w:after="120" w:before="200"/>
      </w:pPr>
      <w:r>
        <w:rPr>
          <w:rFonts w:ascii="Calibri" w:cs="Calibri" w:eastAsia="Calibri" w:hAnsi="Calibri"/>
          <w:b/>
          <w:bCs/>
          <w:color w:val="1F4E79"/>
          <w:sz w:val="24"/>
          <w:szCs w:val="24"/>
        </w:rPr>
        <w:t xml:space="preserve">Vision Statement</w:t>
      </w:r>
    </w:p>
    <w:p>
      <w:pPr>
        <w:spacing w:after="160" w:line="300"/>
        <w:jc w:val="both"/>
      </w:pPr>
      <w:r>
        <w:rPr>
          <w:rFonts w:ascii="Calibri" w:cs="Calibri" w:eastAsia="Calibri" w:hAnsi="Calibri"/>
          <w:sz w:val="22"/>
          <w:szCs w:val="22"/>
        </w:rPr>
        <w:t xml:space="preserve">To become the leading artificial intelligence solutions provider for Iraqi businesses, building the bridge between local industry and the new era of intelligent automation. The company will be known within five years as the first name Iraqi business owners associate with practical, affordable, and trustworthy AI implementation.</w:t>
      </w:r>
    </w:p>
    <w:p>
      <w:pPr>
        <w:pStyle w:val="Heading3"/>
        <w:spacing w:after="120" w:before="200"/>
      </w:pPr>
      <w:r>
        <w:rPr>
          <w:rFonts w:ascii="Calibri" w:cs="Calibri" w:eastAsia="Calibri" w:hAnsi="Calibri"/>
          <w:b/>
          <w:bCs/>
          <w:color w:val="1F4E79"/>
          <w:sz w:val="24"/>
          <w:szCs w:val="24"/>
        </w:rPr>
        <w:t xml:space="preserve">Mission Statement</w:t>
      </w:r>
    </w:p>
    <w:p>
      <w:pPr>
        <w:spacing w:after="160" w:line="300"/>
        <w:jc w:val="both"/>
      </w:pPr>
      <w:r>
        <w:rPr>
          <w:rFonts w:ascii="Calibri" w:cs="Calibri" w:eastAsia="Calibri" w:hAnsi="Calibri"/>
          <w:sz w:val="22"/>
          <w:szCs w:val="22"/>
        </w:rPr>
        <w:t xml:space="preserve">To deliver practical, affordable, and privacy-first AI solutions tailored specifically to Iraqi businesses. The company will operate as a trusted local partner rather than a remote vendor, starting with Baghdad and expanding city by city, industry by industry, building a reputation on the strength of delivered results rather than the promise of technological novelty.</w:t>
      </w:r>
    </w:p>
    <w:p>
      <w:pPr>
        <w:pStyle w:val="Heading3"/>
        <w:spacing w:after="120" w:before="200"/>
      </w:pPr>
      <w:r>
        <w:rPr>
          <w:rFonts w:ascii="Calibri" w:cs="Calibri" w:eastAsia="Calibri" w:hAnsi="Calibri"/>
          <w:b/>
          <w:bCs/>
          <w:color w:val="1F4E79"/>
          <w:sz w:val="24"/>
          <w:szCs w:val="24"/>
        </w:rPr>
        <w:t xml:space="preserve">Core Values</w:t>
      </w:r>
    </w:p>
    <w:p>
      <w:pPr>
        <w:spacing w:after="160" w:line="300"/>
        <w:jc w:val="both"/>
      </w:pPr>
      <w:r>
        <w:rPr>
          <w:rFonts w:ascii="Calibri" w:cs="Calibri" w:eastAsia="Calibri" w:hAnsi="Calibri"/>
          <w:sz w:val="22"/>
          <w:szCs w:val="22"/>
        </w:rPr>
        <w:t xml:space="preserve">Five principles define how the company operates internally and externally. Competence is the floor — every deliverable meets a professional standard regardless of client size. Honesty governs every client conversation, including when the honest answer is that AI is not the right solution. Privacy is architectural, meaning client data is protected by how systems are built rather than by promises alone. Speed matters more than perfection in early-stage delivery, and the company prioritizes shipping working solutions over building theoretically optimal ones. Learning is continuous, treated as a daily requirement rather than a periodic event, because the field itself changes monthly.</w:t>
      </w:r>
    </w:p>
    <w:p>
      <w:pPr>
        <w:pStyle w:val="Heading2"/>
        <w:spacing w:after="160" w:before="280"/>
      </w:pPr>
      <w:r>
        <w:rPr>
          <w:rFonts w:ascii="Calibri" w:cs="Calibri" w:eastAsia="Calibri" w:hAnsi="Calibri"/>
          <w:b/>
          <w:bCs/>
          <w:color w:val="2E75B6"/>
          <w:sz w:val="28"/>
          <w:szCs w:val="28"/>
        </w:rPr>
        <w:t xml:space="preserve">1.2 Business Model</w:t>
      </w:r>
    </w:p>
    <w:p>
      <w:pPr>
        <w:spacing w:after="160" w:line="300"/>
        <w:jc w:val="both"/>
      </w:pPr>
      <w:r>
        <w:rPr>
          <w:rFonts w:ascii="Calibri" w:cs="Calibri" w:eastAsia="Calibri" w:hAnsi="Calibri"/>
          <w:sz w:val="22"/>
          <w:szCs w:val="22"/>
        </w:rPr>
        <w:t xml:space="preserve">The company operates on a dual-stream revenue model combining project-based fees with ongoing retainer relationships. Project fees provide rapid cash flow in the early stage, when establishing credibility and a case study portfolio requires the team to complete visible work quickly. Retainers, which begin after project delivery, provide the stable recurring revenue that transforms the company from a services shop dependent on continuous sales into a sustainable business with predictable monthly income.</w:t>
      </w:r>
    </w:p>
    <w:p>
      <w:pPr>
        <w:spacing w:after="160" w:line="300"/>
        <w:jc w:val="both"/>
      </w:pPr>
      <w:r>
        <w:rPr>
          <w:rFonts w:ascii="Calibri" w:cs="Calibri" w:eastAsia="Calibri" w:hAnsi="Calibri"/>
          <w:sz w:val="22"/>
          <w:szCs w:val="22"/>
        </w:rPr>
        <w:t xml:space="preserve">Every project proposal explicitly includes a retainer option. A client who pays eight hundred dollars for an initial automation system becomes a client who pays one hundred fifty dollars per month for maintenance, updates, and optimization. Over a twelve-month period, that single relationship generates more recurring revenue than the initial project fee. Compounding this across fifteen to twenty active retainer clients by month twelve creates a financial foundation that does not depend on winning the next new project to pay next month’s salaries.</w:t>
      </w:r>
    </w:p>
    <w:p>
      <w:pPr>
        <w:spacing w:after="160" w:line="300"/>
        <w:jc w:val="both"/>
      </w:pPr>
      <w:r>
        <w:rPr>
          <w:rFonts w:ascii="Calibri" w:cs="Calibri" w:eastAsia="Calibri" w:hAnsi="Calibri"/>
          <w:sz w:val="22"/>
          <w:szCs w:val="22"/>
        </w:rPr>
        <w:t xml:space="preserve">Secondary revenue streams emerge in year two and beyond, including a packaged SaaS enterprise resource planning product aimed at small and medium Iraqi businesses, training workshops for professionals and company employees, and specialized industrial services such as predictive maintenance. These are not distractions from the core business but natural extensions of capabilities developed during the first twelve months of custom client work.</w:t>
      </w:r>
    </w:p>
    <w:p>
      <w:pPr>
        <w:pStyle w:val="Heading2"/>
        <w:spacing w:after="160" w:before="280"/>
      </w:pPr>
      <w:r>
        <w:rPr>
          <w:rFonts w:ascii="Calibri" w:cs="Calibri" w:eastAsia="Calibri" w:hAnsi="Calibri"/>
          <w:b/>
          <w:bCs/>
          <w:color w:val="2E75B6"/>
          <w:sz w:val="28"/>
          <w:szCs w:val="28"/>
        </w:rPr>
        <w:t xml:space="preserve">1.3 Market Opportunity in Iraq</w:t>
      </w:r>
    </w:p>
    <w:p>
      <w:pPr>
        <w:spacing w:after="160" w:line="300"/>
        <w:jc w:val="both"/>
      </w:pPr>
      <w:r>
        <w:rPr>
          <w:rFonts w:ascii="Calibri" w:cs="Calibri" w:eastAsia="Calibri" w:hAnsi="Calibri"/>
          <w:sz w:val="22"/>
          <w:szCs w:val="22"/>
        </w:rPr>
        <w:t xml:space="preserve">Iraq represents a largely unaddressed market for artificial intelligence services. The country’s commercial landscape consists of thousands of small and medium businesses operating with predominantly manual processes, outdated software, or no digital infrastructure at all. Foreign AI companies rarely serve Iraq directly, and when they do their pricing, delivery models, and communication channels are poorly matched to the local environment. The handful of Iraqi IT companies beginning to explore AI operate without the specialized focus or architectural commitment to privacy that serious clients require.</w:t>
      </w:r>
    </w:p>
    <w:p>
      <w:pPr>
        <w:spacing w:after="160" w:line="300"/>
        <w:jc w:val="both"/>
      </w:pPr>
      <w:r>
        <w:rPr>
          <w:rFonts w:ascii="Calibri" w:cs="Calibri" w:eastAsia="Calibri" w:hAnsi="Calibri"/>
          <w:sz w:val="22"/>
          <w:szCs w:val="22"/>
        </w:rPr>
        <w:t xml:space="preserve">The target industries for initial market entry are clearly defined by a combination of pain severity, ability to pay, and speed of decision-making. Private medical clinics face mounting operational pressure with manual appointment systems and missed calls. Trading and import companies lose measurable revenue to inventory mismanagement and slow invoicing. Small to medium factories lack basic monitoring capabilities and remain exposed to theft, safety incidents, and unreported machine downtime. Real estate offices operate without modern digital presence in a market where international comparisons are increasingly visible to clients. Retail and restaurant businesses, especially those with multiple locations, face competition from digitally fluent regional brands and need tools to respond.</w:t>
      </w:r>
    </w:p>
    <w:p>
      <w:pPr>
        <w:spacing w:after="160" w:line="300"/>
        <w:jc w:val="both"/>
      </w:pPr>
      <w:r>
        <w:rPr>
          <w:rFonts w:ascii="Calibri" w:cs="Calibri" w:eastAsia="Calibri" w:hAnsi="Calibri"/>
          <w:sz w:val="22"/>
          <w:szCs w:val="22"/>
        </w:rPr>
        <w:t xml:space="preserve">The geographic strategy is deliberately sequential. Baghdad, as the largest commercial center and the location of the founding team, is the proving ground where the company establishes its first twenty to thirty client relationships, refines its delivery process, and builds the case study library that unlocks expansion. Basra, with its industrial economy driven by oil services, logistics, and heavy manufacturing, represents the natural second market for factory-focused services. Erbil, with its internationally connected private sector and higher price tolerance, offers the strongest opportunity for premium offerings and enterprise-scale deployments. Expansion to a second city is planned for month twelve to fifteen, conditional on stability in the first.</w:t>
      </w:r>
    </w:p>
    <w:p>
      <w:pPr>
        <w:spacing w:after="160" w:line="300"/>
        <w:jc w:val="both"/>
      </w:pPr>
      <w:r>
        <w:rPr>
          <w:rFonts w:ascii="Calibri" w:cs="Calibri" w:eastAsia="Calibri" w:hAnsi="Calibri"/>
          <w:sz w:val="22"/>
          <w:szCs w:val="22"/>
        </w:rPr>
        <w:t xml:space="preserve">The timing of market entry is critical. AI adoption in the broader region is moving from experimental to operational at unprecedented speed, with Gulf organizations deploying AI in daily operations at rates that were unthinkable two years ago. Iraq lags this curve by roughly eighteen to thirty-six months, which is both the opportunity and the risk: the opportunity because a well-positioned local company can capture the market before international competition arrives, and the risk because that competition is coming. The window for establishing defensible market position is now, not in three years.</w:t>
      </w:r>
    </w:p>
    <w:p>
      <w:pPr>
        <w:pStyle w:val="Heading2"/>
        <w:spacing w:after="160" w:before="280"/>
      </w:pPr>
      <w:r>
        <w:rPr>
          <w:rFonts w:ascii="Calibri" w:cs="Calibri" w:eastAsia="Calibri" w:hAnsi="Calibri"/>
          <w:b/>
          <w:bCs/>
          <w:color w:val="2E75B6"/>
          <w:sz w:val="28"/>
          <w:szCs w:val="28"/>
        </w:rPr>
        <w:t xml:space="preserve">1.4 Competitive Landscape</w:t>
      </w:r>
    </w:p>
    <w:p>
      <w:pPr>
        <w:spacing w:after="160" w:line="300"/>
        <w:jc w:val="both"/>
      </w:pPr>
      <w:r>
        <w:rPr>
          <w:rFonts w:ascii="Calibri" w:cs="Calibri" w:eastAsia="Calibri" w:hAnsi="Calibri"/>
          <w:sz w:val="22"/>
          <w:szCs w:val="22"/>
        </w:rPr>
        <w:t xml:space="preserve">Competition for the company’s target market falls into three categories, each with distinct weaknesses. International AI service providers based in Dubai, Turkey, or further abroad compete on technical sophistication but are structurally unable to match the company on cultural fit, language, pricing, or physical presence. Their sales cycles are long, their pricing is denominated in currencies that translate unfavorably, and their support channels rarely include Arabic-first operations oriented to Iraqi business hours and holidays.</w:t>
      </w:r>
    </w:p>
    <w:p>
      <w:pPr>
        <w:spacing w:after="160" w:line="300"/>
        <w:jc w:val="both"/>
      </w:pPr>
      <w:r>
        <w:rPr>
          <w:rFonts w:ascii="Calibri" w:cs="Calibri" w:eastAsia="Calibri" w:hAnsi="Calibri"/>
          <w:sz w:val="22"/>
          <w:szCs w:val="22"/>
        </w:rPr>
        <w:t xml:space="preserve">Local Iraqi IT companies represent the closest competitive category, but most treat AI as a marketing label added to their existing service menu rather than a core specialization. They lack the focused technical team, the architectural commitment to offline-capable systems, and the case study portfolio required to win serious projects. Their weakness is dilution: they attempt to serve too many categories with too few specialists.</w:t>
      </w:r>
    </w:p>
    <w:p>
      <w:pPr>
        <w:spacing w:after="160" w:line="300"/>
        <w:jc w:val="both"/>
      </w:pPr>
      <w:r>
        <w:rPr>
          <w:rFonts w:ascii="Calibri" w:cs="Calibri" w:eastAsia="Calibri" w:hAnsi="Calibri"/>
          <w:sz w:val="22"/>
          <w:szCs w:val="22"/>
        </w:rPr>
        <w:t xml:space="preserve">Generic off-the-shelf SaaS products, both foreign and increasingly local, compete on the low end of the market with packaged solutions for chatbots, website builders, and simple automation. Their competitive position is genuine and expanding, but they solve generic problems rather than specific ones. A pharmacy in Baghdad does not need a generic WhatsApp bot; it needs one trained on its specific product catalog, responsive in Iraqi Arabic dialect, integrated with its existing ordering workflow, and maintained by someone reachable by phone the same day. That depth of solution is where the company wins and where generic tools cannot reach without local technical presence.</w:t>
      </w:r>
    </w:p>
    <w:p>
      <w:pPr>
        <w:pStyle w:val="Heading2"/>
        <w:spacing w:after="160" w:before="280"/>
      </w:pPr>
      <w:r>
        <w:rPr>
          <w:rFonts w:ascii="Calibri" w:cs="Calibri" w:eastAsia="Calibri" w:hAnsi="Calibri"/>
          <w:b/>
          <w:bCs/>
          <w:color w:val="2E75B6"/>
          <w:sz w:val="28"/>
          <w:szCs w:val="28"/>
        </w:rPr>
        <w:t xml:space="preserve">1.5 Unique Competitive Advantage</w:t>
      </w:r>
    </w:p>
    <w:p>
      <w:pPr>
        <w:spacing w:after="160" w:line="300"/>
        <w:jc w:val="both"/>
      </w:pPr>
      <w:r>
        <w:rPr>
          <w:rFonts w:ascii="Calibri" w:cs="Calibri" w:eastAsia="Calibri" w:hAnsi="Calibri"/>
          <w:sz w:val="22"/>
          <w:szCs w:val="22"/>
        </w:rPr>
        <w:t xml:space="preserve">Three advantages, taken together, define a defensible market position that no single competitor can replicate without fundamentally changing its business model.</w:t>
      </w:r>
    </w:p>
    <w:p>
      <w:pPr>
        <w:pStyle w:val="Heading3"/>
        <w:spacing w:after="120" w:before="200"/>
      </w:pPr>
      <w:r>
        <w:rPr>
          <w:rFonts w:ascii="Calibri" w:cs="Calibri" w:eastAsia="Calibri" w:hAnsi="Calibri"/>
          <w:b/>
          <w:bCs/>
          <w:color w:val="1F4E79"/>
          <w:sz w:val="24"/>
          <w:szCs w:val="24"/>
        </w:rPr>
        <w:t xml:space="preserve">Local Presence and Cultural Fit</w:t>
      </w:r>
    </w:p>
    <w:p>
      <w:pPr>
        <w:spacing w:after="160" w:line="300"/>
        <w:jc w:val="both"/>
      </w:pPr>
      <w:r>
        <w:rPr>
          <w:rFonts w:ascii="Calibri" w:cs="Calibri" w:eastAsia="Calibri" w:hAnsi="Calibri"/>
          <w:sz w:val="22"/>
          <w:szCs w:val="22"/>
        </w:rPr>
        <w:t xml:space="preserve">The team operates in Arabic as a first language, sits across the table from clients in their own cities, understands the rhythm of Iraqi business culture including its relationship-driven decision-making and its holiday calendar, and provides support through the channels clients already use daily. This is not a marketing claim but an operational reality, and it is the single most common reason clients choose the company over international alternatives.</w:t>
      </w:r>
    </w:p>
    <w:p>
      <w:pPr>
        <w:pStyle w:val="Heading3"/>
        <w:spacing w:after="120" w:before="200"/>
      </w:pPr>
      <w:r>
        <w:rPr>
          <w:rFonts w:ascii="Calibri" w:cs="Calibri" w:eastAsia="Calibri" w:hAnsi="Calibri"/>
          <w:b/>
          <w:bCs/>
          <w:color w:val="1F4E79"/>
          <w:sz w:val="24"/>
          <w:szCs w:val="24"/>
        </w:rPr>
        <w:t xml:space="preserve">Custom Delivery, Not Generic Software</w:t>
      </w:r>
    </w:p>
    <w:p>
      <w:pPr>
        <w:spacing w:after="160" w:line="300"/>
        <w:jc w:val="both"/>
      </w:pPr>
      <w:r>
        <w:rPr>
          <w:rFonts w:ascii="Calibri" w:cs="Calibri" w:eastAsia="Calibri" w:hAnsi="Calibri"/>
          <w:sz w:val="22"/>
          <w:szCs w:val="22"/>
        </w:rPr>
        <w:t xml:space="preserve">Every client receives a solution built specifically around their workflow, their data, their language conventions, and their business model. This approach is slower and less scalable than selling packaged software, but it produces solutions that actually fit and therefore actually get used. Client retention and satisfaction are dramatically higher as a result, and the custom approach generates the domain knowledge that eventually enables the packaged SaaS offerings in year two.</w:t>
      </w:r>
    </w:p>
    <w:p>
      <w:pPr>
        <w:pStyle w:val="Heading3"/>
        <w:spacing w:after="120" w:before="200"/>
      </w:pPr>
      <w:r>
        <w:rPr>
          <w:rFonts w:ascii="Calibri" w:cs="Calibri" w:eastAsia="Calibri" w:hAnsi="Calibri"/>
          <w:b/>
          <w:bCs/>
          <w:color w:val="1F4E79"/>
          <w:sz w:val="24"/>
          <w:szCs w:val="24"/>
        </w:rPr>
        <w:t xml:space="preserve">Offline Architecture and Data Sovereignty</w:t>
      </w:r>
    </w:p>
    <w:p>
      <w:pPr>
        <w:spacing w:after="160" w:line="300"/>
        <w:jc w:val="both"/>
      </w:pPr>
      <w:r>
        <w:rPr>
          <w:rFonts w:ascii="Calibri" w:cs="Calibri" w:eastAsia="Calibri" w:hAnsi="Calibri"/>
          <w:sz w:val="22"/>
          <w:szCs w:val="22"/>
        </w:rPr>
        <w:t xml:space="preserve">The company’s technical stack is designed from the outset to run AI workloads on local hardware, meaning client data never leaves the client’s premises. For clinics handling patient records, factories handling production data, law firms handling confidential case materials, and businesses dealing with government contracts, this architectural choice is not a convenience but a requirement. It is also a structural moat: competitors relying on cloud-based foreign AI services cannot match this capability without re-architecting their entire delivery model. As regional and potentially Iraqi regulations around data sovereignty mature, this advantage will compound rather than erode.</w:t>
      </w:r>
    </w:p>
    <w:p>
      <w:pPr>
        <w:pBdr>
          <w:left w:val="single" w:color="2E75B6" w:sz="24" w:space="12"/>
        </w:pBdr>
        <w:spacing w:after="160" w:before="160" w:line="300"/>
        <w:ind w:left="360" w:right="360"/>
      </w:pPr>
      <w:r>
        <w:rPr>
          <w:rFonts w:ascii="Calibri" w:cs="Calibri" w:eastAsia="Calibri" w:hAnsi="Calibri"/>
          <w:i/>
          <w:iCs/>
          <w:color w:val="2E75B6"/>
          <w:sz w:val="22"/>
          <w:szCs w:val="22"/>
        </w:rPr>
        <w:t xml:space="preserve">The strategic position is therefore not built on any single advantage but on the combination of three — local, custom, and offline — which together create a market position no external competitor can reach and no generic product can replicate.</w:t>
      </w:r>
    </w:p>
    <w:p>
      <w:pPr>
        <w:pStyle w:val="Heading1"/>
        <w:pageBreakBefore/>
        <w:spacing w:after="240" w:before="400"/>
      </w:pPr>
      <w:r>
        <w:rPr>
          <w:rFonts w:ascii="Calibri" w:cs="Calibri" w:eastAsia="Calibri" w:hAnsi="Calibri"/>
          <w:b/>
          <w:bCs/>
          <w:color w:val="1F4E79"/>
          <w:sz w:val="36"/>
          <w:szCs w:val="36"/>
        </w:rPr>
        <w:t xml:space="preserve">Phase 2 — Establishing</w:t>
      </w:r>
    </w:p>
    <w:p>
      <w:pPr>
        <w:pBdr>
          <w:left w:val="single" w:color="2E75B6" w:sz="24" w:space="12"/>
        </w:pBdr>
        <w:spacing w:after="160" w:before="160" w:line="300"/>
        <w:ind w:left="360" w:right="360"/>
      </w:pPr>
      <w:r>
        <w:rPr>
          <w:rFonts w:ascii="Calibri" w:cs="Calibri" w:eastAsia="Calibri" w:hAnsi="Calibri"/>
          <w:i/>
          <w:iCs/>
          <w:color w:val="2E75B6"/>
          <w:sz w:val="22"/>
          <w:szCs w:val="22"/>
        </w:rPr>
        <w:t xml:space="preserve">The ninety-day process of transforming concept into operational reality: recruitment, hiring, equipment, software, and the first productive week of the company’s existence.</w:t>
      </w:r>
    </w:p>
    <w:p>
      <w:pPr>
        <w:pStyle w:val="Heading2"/>
        <w:spacing w:after="160" w:before="280"/>
      </w:pPr>
      <w:r>
        <w:rPr>
          <w:rFonts w:ascii="Calibri" w:cs="Calibri" w:eastAsia="Calibri" w:hAnsi="Calibri"/>
          <w:b/>
          <w:bCs/>
          <w:color w:val="2E75B6"/>
          <w:sz w:val="28"/>
          <w:szCs w:val="28"/>
        </w:rPr>
        <w:t xml:space="preserve">2.1 Recruitment Strategy</w:t>
      </w:r>
    </w:p>
    <w:p>
      <w:pPr>
        <w:spacing w:after="160" w:line="300"/>
        <w:jc w:val="both"/>
      </w:pPr>
      <w:r>
        <w:rPr>
          <w:rFonts w:ascii="Calibri" w:cs="Calibri" w:eastAsia="Calibri" w:hAnsi="Calibri"/>
          <w:sz w:val="22"/>
          <w:szCs w:val="22"/>
        </w:rPr>
        <w:t xml:space="preserve">The hiring phase begins immediately upon funding confirmation and runs for approximately four weeks before transitioning into the training and onboarding period. Candidate sourcing is deliberately broad, drawing simultaneously from four channels to maximize both the quality and the diversity of the applicant pool.</w:t>
      </w:r>
    </w:p>
    <w:p>
      <w:pPr>
        <w:spacing w:after="160" w:line="300"/>
        <w:jc w:val="both"/>
      </w:pPr>
      <w:r>
        <w:rPr>
          <w:rFonts w:ascii="Calibri" w:cs="Calibri" w:eastAsia="Calibri" w:hAnsi="Calibri"/>
          <w:sz w:val="22"/>
          <w:szCs w:val="22"/>
        </w:rPr>
        <w:t xml:space="preserve">Iraqi technology-focused Facebook groups and Telegram channels provide the largest volume of applications at the lowest cost, reaching self-motivated candidates who are already active in online technical communities. University computer science and engineering departments, particularly through direct conversations with professors who can recommend promising final-year students, provide candidates with strong academic foundations who may be hungry for a first meaningful professional opportunity. Personal network and word of mouth referrals, while slower, consistently produce the highest quality hires because trust relationships pre-filter the candidate. Public technical communities, GitHub profiles, and LinkedIn searches complete the sourcing strategy.</w:t>
      </w:r>
    </w:p>
    <w:p>
      <w:pPr>
        <w:spacing w:after="160" w:line="300"/>
        <w:jc w:val="both"/>
      </w:pPr>
      <w:r>
        <w:rPr>
          <w:rFonts w:ascii="Calibri" w:cs="Calibri" w:eastAsia="Calibri" w:hAnsi="Calibri"/>
          <w:sz w:val="22"/>
          <w:szCs w:val="22"/>
        </w:rPr>
        <w:t xml:space="preserve">The recruitment posting itself is short, direct, and designed to attract exactly the kind of candidate the company needs while discouraging those who are not a fit. It explains that the company is newly established, that the opportunity includes real learning and future equity participation rather than only salary, and that the company values demonstrated drive and self-learning over formal credentials. Candidates are asked to reply with something they have built or learned on their own, rather than with a resume — this single filter eliminates the majority of uninterested applicants in the first week.</w:t>
      </w:r>
    </w:p>
    <w:p>
      <w:pPr>
        <w:pStyle w:val="Heading2"/>
        <w:spacing w:after="160" w:before="280"/>
      </w:pPr>
      <w:r>
        <w:rPr>
          <w:rFonts w:ascii="Calibri" w:cs="Calibri" w:eastAsia="Calibri" w:hAnsi="Calibri"/>
          <w:b/>
          <w:bCs/>
          <w:color w:val="2E75B6"/>
          <w:sz w:val="28"/>
          <w:szCs w:val="28"/>
        </w:rPr>
        <w:t xml:space="preserve">2.2 Candidate Profile</w:t>
      </w:r>
    </w:p>
    <w:p>
      <w:pPr>
        <w:spacing w:after="160" w:line="300"/>
        <w:jc w:val="both"/>
      </w:pPr>
      <w:r>
        <w:rPr>
          <w:rFonts w:ascii="Calibri" w:cs="Calibri" w:eastAsia="Calibri" w:hAnsi="Calibri"/>
          <w:sz w:val="22"/>
          <w:szCs w:val="22"/>
        </w:rPr>
        <w:t xml:space="preserve">The defining characteristic the company seeks is attitude rather than credential, on the explicit principle that skills can be taught within a structured first ninety days while attitude and work ethic cannot be developed by any amount of training. This does not mean skills are irrelevant — they affect how long the training period takes — but they are secondary in the hiring decision.</w:t>
      </w:r>
    </w:p>
    <w:p>
      <w:pPr>
        <w:spacing w:after="160" w:line="300"/>
        <w:jc w:val="both"/>
      </w:pPr>
      <w:r>
        <w:rPr>
          <w:rFonts w:ascii="Calibri" w:cs="Calibri" w:eastAsia="Calibri" w:hAnsi="Calibri"/>
          <w:sz w:val="22"/>
          <w:szCs w:val="22"/>
        </w:rPr>
        <w:t xml:space="preserve">Essential characteristics include genuine curiosity about technology rather than passive interest, demonstrated habit of self-directed learning through online courses or personal projects, clear and professional communication ability, punctuality and reliability in small commitments, and hunger to grow professionally rather than only to collect a paycheck. Red flags that disqualify candidates regardless of other strengths include exclusive focus on money as motivator, waiting to be told what to do rather than taking initiative, lack of any evidence of learning outside of formal education, and inconsistency between what they say and how they behave during the interview process.</w:t>
      </w:r>
    </w:p>
    <w:p>
      <w:pPr>
        <w:spacing w:after="160" w:line="300"/>
        <w:jc w:val="both"/>
      </w:pPr>
      <w:r>
        <w:rPr>
          <w:rFonts w:ascii="Calibri" w:cs="Calibri" w:eastAsia="Calibri" w:hAnsi="Calibri"/>
          <w:sz w:val="22"/>
          <w:szCs w:val="22"/>
        </w:rPr>
        <w:t xml:space="preserve">Formal credentials — university degrees, certifications, previous job titles — are treated as weak signals rather than requirements. A candidate with a strong self-built portfolio and no degree is preferred over a candidate with a degree and no demonstrated work. This approach is deliberately broader than most Iraqi companies use, and it is a competitive advantage in recruiting: the company can attract high-potential candidates who would not be competitive at traditional firms.</w:t>
      </w:r>
    </w:p>
    <w:p>
      <w:pPr>
        <w:pStyle w:val="Heading2"/>
        <w:spacing w:after="160" w:before="280"/>
      </w:pPr>
      <w:r>
        <w:rPr>
          <w:rFonts w:ascii="Calibri" w:cs="Calibri" w:eastAsia="Calibri" w:hAnsi="Calibri"/>
          <w:b/>
          <w:bCs/>
          <w:color w:val="2E75B6"/>
          <w:sz w:val="28"/>
          <w:szCs w:val="28"/>
        </w:rPr>
        <w:t xml:space="preserve">2.3 Interview and Testing Process</w:t>
      </w:r>
    </w:p>
    <w:p>
      <w:pPr>
        <w:spacing w:after="160" w:line="300"/>
        <w:jc w:val="both"/>
      </w:pPr>
      <w:r>
        <w:rPr>
          <w:rFonts w:ascii="Calibri" w:cs="Calibri" w:eastAsia="Calibri" w:hAnsi="Calibri"/>
          <w:sz w:val="22"/>
          <w:szCs w:val="22"/>
        </w:rPr>
        <w:t xml:space="preserve">Candidate evaluation follows a three-stage process designed to make hiring decisions based on evidence rather than impression. The total time investment per candidate is approximately four hours across a week, which is sufficient to identify strong candidates without extending the process so long that they lose interest or accept other offers.</w:t>
      </w:r>
    </w:p>
    <w:p>
      <w:pPr>
        <w:pStyle w:val="Heading3"/>
        <w:spacing w:after="120" w:before="200"/>
      </w:pPr>
      <w:r>
        <w:rPr>
          <w:rFonts w:ascii="Calibri" w:cs="Calibri" w:eastAsia="Calibri" w:hAnsi="Calibri"/>
          <w:b/>
          <w:bCs/>
          <w:color w:val="1F4E79"/>
          <w:sz w:val="24"/>
          <w:szCs w:val="24"/>
        </w:rPr>
        <w:t xml:space="preserve">Stage One — Initial Interview</w:t>
      </w:r>
    </w:p>
    <w:p>
      <w:pPr>
        <w:spacing w:after="160" w:line="300"/>
        <w:jc w:val="both"/>
      </w:pPr>
      <w:r>
        <w:rPr>
          <w:rFonts w:ascii="Calibri" w:cs="Calibri" w:eastAsia="Calibri" w:hAnsi="Calibri"/>
          <w:sz w:val="22"/>
          <w:szCs w:val="22"/>
        </w:rPr>
        <w:t xml:space="preserve">A thirty-minute conversation conducted either in person or over video, focused on four questions that reveal far more than any formal question list. The candidate is asked to describe something they have built or learned on their own outside of school; asked to show it if possible, even informally. They are asked what they currently know about AI and how they arrived at that knowledge. They are asked where they see themselves professionally in two years, which reveals whether they have thought seriously about their direction or are drifting. Finally they are asked what questions they have for the company, which reveals how much they have thought about the opportunity rather than how well they can answer questions about themselves.</w:t>
      </w:r>
    </w:p>
    <w:p>
      <w:pPr>
        <w:pStyle w:val="Heading3"/>
        <w:spacing w:after="120" w:before="200"/>
      </w:pPr>
      <w:r>
        <w:rPr>
          <w:rFonts w:ascii="Calibri" w:cs="Calibri" w:eastAsia="Calibri" w:hAnsi="Calibri"/>
          <w:b/>
          <w:bCs/>
          <w:color w:val="1F4E79"/>
          <w:sz w:val="24"/>
          <w:szCs w:val="24"/>
        </w:rPr>
        <w:t xml:space="preserve">Stage Two — Practical Task</w:t>
      </w:r>
    </w:p>
    <w:p>
      <w:pPr>
        <w:spacing w:after="160" w:line="300"/>
        <w:jc w:val="both"/>
      </w:pPr>
      <w:r>
        <w:rPr>
          <w:rFonts w:ascii="Calibri" w:cs="Calibri" w:eastAsia="Calibri" w:hAnsi="Calibri"/>
          <w:sz w:val="22"/>
          <w:szCs w:val="22"/>
        </w:rPr>
        <w:t xml:space="preserve">Candidates who pass the interview receive a practical assignment tailored to the role they are applying for, with three days to complete it. For developer candidates, the task is to build a simple working webpage or command-line utility that solves a defined small problem. For AI engineer candidates, the task is to install Ollama on their own machine, run a local language model, and send back a screenshot demonstrating they did so. For designer candidates, the task is to produce a logo concept and a simple landing page mockup. The evaluation criterion is not sophistication but completion, clarity, and whether they asked smart questions when uncertain.</w:t>
      </w:r>
    </w:p>
    <w:p>
      <w:pPr>
        <w:pStyle w:val="Heading3"/>
        <w:spacing w:after="120" w:before="200"/>
      </w:pPr>
      <w:r>
        <w:rPr>
          <w:rFonts w:ascii="Calibri" w:cs="Calibri" w:eastAsia="Calibri" w:hAnsi="Calibri"/>
          <w:b/>
          <w:bCs/>
          <w:color w:val="1F4E79"/>
          <w:sz w:val="24"/>
          <w:szCs w:val="24"/>
        </w:rPr>
        <w:t xml:space="preserve">Stage Three — Paid Trial Month</w:t>
      </w:r>
    </w:p>
    <w:p>
      <w:pPr>
        <w:spacing w:after="160" w:line="300"/>
        <w:jc w:val="both"/>
      </w:pPr>
      <w:r>
        <w:rPr>
          <w:rFonts w:ascii="Calibri" w:cs="Calibri" w:eastAsia="Calibri" w:hAnsi="Calibri"/>
          <w:sz w:val="22"/>
          <w:szCs w:val="22"/>
        </w:rPr>
        <w:t xml:space="preserve">Selected candidates begin a thirty-day paid trial at the full agreed base salary, during which they work on structured internal projects under direct supervision. The trial is not a test to pass but a mutual evaluation: the candidate evaluates whether the company matches their expectations, and the company evaluates how the candidate performs on real work over meaningful duration. Either party may end the arrangement at the end of the trial, no questions asked. In practice, most trials convert to confirmed employment, but the explicit option protects both sides from poor long-term fit.</w:t>
      </w:r>
    </w:p>
    <w:p>
      <w:pPr>
        <w:pStyle w:val="Heading2"/>
        <w:spacing w:after="160" w:before="280"/>
      </w:pPr>
      <w:r>
        <w:rPr>
          <w:rFonts w:ascii="Calibri" w:cs="Calibri" w:eastAsia="Calibri" w:hAnsi="Calibri"/>
          <w:b/>
          <w:bCs/>
          <w:color w:val="2E75B6"/>
          <w:sz w:val="28"/>
          <w:szCs w:val="28"/>
        </w:rPr>
        <w:t xml:space="preserve">2.4 Hiring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rPr>
          <w:tblHeader/>
        </w:trPr>
        <w:tc>
          <w:tcPr>
            <w:tcW w:type="dxa" w:w="14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Week</w:t>
            </w:r>
          </w:p>
        </w:tc>
        <w:tc>
          <w:tcPr>
            <w:tcW w:type="dxa" w:w="32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Primary Action</w:t>
            </w:r>
          </w:p>
        </w:tc>
        <w:tc>
          <w:tcPr>
            <w:tcW w:type="dxa" w:w="476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Outcome Target</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Week 1</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Post openings across all four sourcing channels; begin receiving applications</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40–60 applications received</w:t>
            </w:r>
          </w:p>
        </w:tc>
      </w:tr>
      <w:tr>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Week 2</w:t>
            </w:r>
          </w:p>
        </w:tc>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Conduct initial interviews with top 8–10 candidates per role</w:t>
            </w:r>
          </w:p>
        </w:tc>
        <w:tc>
          <w:tcPr>
            <w:tcW w:type="dxa" w:w="4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Shortlist of 3–5 per role</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Week 3</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Send practical tasks; evaluate completed work</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2–3 finalists per role</w:t>
            </w:r>
          </w:p>
        </w:tc>
      </w:tr>
      <w:tr>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Week 4</w:t>
            </w:r>
          </w:p>
        </w:tc>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Extend trial offers; sign trial agreements; prepare workstations</w:t>
            </w:r>
          </w:p>
        </w:tc>
        <w:tc>
          <w:tcPr>
            <w:tcW w:type="dxa" w:w="4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Team of 3–5 confirmed starting Month 2</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Month 2</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Trial month with structured onboarding and internal projects</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Team confirmed for full-time or released</w:t>
            </w:r>
          </w:p>
        </w:tc>
      </w:tr>
      <w:tr>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Month 3</w:t>
            </w:r>
          </w:p>
        </w:tc>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First client engagements begin under Tech Lead supervision</w:t>
            </w:r>
          </w:p>
        </w:tc>
        <w:tc>
          <w:tcPr>
            <w:tcW w:type="dxa" w:w="4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First paid project delivered</w:t>
            </w:r>
          </w:p>
        </w:tc>
      </w:tr>
    </w:tbl>
    <w:p>
      <w:pPr>
        <w:pStyle w:val="Heading2"/>
        <w:spacing w:after="160" w:before="280"/>
      </w:pPr>
      <w:r>
        <w:rPr>
          <w:rFonts w:ascii="Calibri" w:cs="Calibri" w:eastAsia="Calibri" w:hAnsi="Calibri"/>
          <w:b/>
          <w:bCs/>
          <w:color w:val="2E75B6"/>
          <w:sz w:val="28"/>
          <w:szCs w:val="28"/>
        </w:rPr>
        <w:t xml:space="preserve">2.5 Equipment Acquisition</w:t>
      </w:r>
    </w:p>
    <w:p>
      <w:pPr>
        <w:spacing w:after="160" w:line="300"/>
        <w:jc w:val="both"/>
      </w:pPr>
      <w:r>
        <w:rPr>
          <w:rFonts w:ascii="Calibri" w:cs="Calibri" w:eastAsia="Calibri" w:hAnsi="Calibri"/>
          <w:sz w:val="22"/>
          <w:szCs w:val="22"/>
        </w:rPr>
        <w:t xml:space="preserve">Equipment purchasing follows a two-phase approach calibrated to cash flow. Phase one equipment is acquired in weeks one and two before the team arrives, ensuring that every person walks into a working environment on day one. Phase two equipment is deferred to month two or later, acquired only as specific project requirements justify the expense.</w:t>
      </w:r>
    </w:p>
    <w:p>
      <w:pPr>
        <w:spacing w:after="160" w:line="300"/>
        <w:jc w:val="both"/>
      </w:pPr>
      <w:r>
        <w:rPr>
          <w:rFonts w:ascii="Calibri" w:cs="Calibri" w:eastAsia="Calibri" w:hAnsi="Calibri"/>
          <w:sz w:val="22"/>
          <w:szCs w:val="22"/>
        </w:rPr>
        <w:t xml:space="preserve">Phase one includes all five workstations specified in Phase 5, five uninterruptible power supply units, the network router and switch, basic furniture including desks and chairs, the network-attached storage device for shared files and backups, and initial software subscriptions for essential tools. The total phase one investment is approximately seventy-five hundred to eighty-five hundred dollars.</w:t>
      </w:r>
    </w:p>
    <w:p>
      <w:pPr>
        <w:spacing w:after="160" w:line="300"/>
        <w:jc w:val="both"/>
      </w:pPr>
      <w:r>
        <w:rPr>
          <w:rFonts w:ascii="Calibri" w:cs="Calibri" w:eastAsia="Calibri" w:hAnsi="Calibri"/>
          <w:sz w:val="22"/>
          <w:szCs w:val="22"/>
        </w:rPr>
        <w:t xml:space="preserve">Phase two, planned for month two and beyond, includes the solar inverter and battery system for reliable power through extended outages, additional monitors for workstations that need them, and the dedicated server hardware for hosting larger AI models once client projects require capabilities beyond individual workstation capacity. Deferring this equipment until revenue begins flowing reduces initial capital requirements and ensures purchases are matched to actual demonstrated need.</w:t>
      </w:r>
    </w:p>
    <w:p>
      <w:pPr>
        <w:spacing w:after="160" w:line="300"/>
        <w:jc w:val="both"/>
      </w:pPr>
      <w:r>
        <w:rPr>
          <w:rFonts w:ascii="Calibri" w:cs="Calibri" w:eastAsia="Calibri" w:hAnsi="Calibri"/>
          <w:sz w:val="22"/>
          <w:szCs w:val="22"/>
        </w:rPr>
        <w:t xml:space="preserve">A critical discipline throughout the establishment phase is rigorous documentation of every purchase. Each item is recorded with its cost, serial number where applicable, purchase date, and assigned ownership. This documentation serves both practical purposes — warranty claims, depreciation tracking, insurance — and investor reporting, providing complete transparency on how capital is deployed.</w:t>
      </w:r>
    </w:p>
    <w:p>
      <w:pPr>
        <w:pStyle w:val="Heading2"/>
        <w:spacing w:after="160" w:before="280"/>
      </w:pPr>
      <w:r>
        <w:rPr>
          <w:rFonts w:ascii="Calibri" w:cs="Calibri" w:eastAsia="Calibri" w:hAnsi="Calibri"/>
          <w:b/>
          <w:bCs/>
          <w:color w:val="2E75B6"/>
          <w:sz w:val="28"/>
          <w:szCs w:val="28"/>
        </w:rPr>
        <w:t xml:space="preserve">2.6 Online Tools and Software Subscriptions</w:t>
      </w:r>
    </w:p>
    <w:p>
      <w:pPr>
        <w:spacing w:after="160" w:line="300"/>
        <w:jc w:val="both"/>
      </w:pPr>
      <w:r>
        <w:rPr>
          <w:rFonts w:ascii="Calibri" w:cs="Calibri" w:eastAsia="Calibri" w:hAnsi="Calibri"/>
          <w:sz w:val="22"/>
          <w:szCs w:val="22"/>
        </w:rPr>
        <w:t xml:space="preserve">The software stack is chosen for capability, cost efficiency, and consistency across the team. Subscriptions are added incrementally, beginning with only what the team needs in its first productive week and expanding as project work demands additional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900"/>
        <w:gridCol w:w="306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Tool Category</w:t>
            </w:r>
          </w:p>
        </w:tc>
        <w:tc>
          <w:tcPr>
            <w:tcW w:type="dxa" w:w="22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Product</w:t>
            </w:r>
          </w:p>
        </w:tc>
        <w:tc>
          <w:tcPr>
            <w:tcW w:type="dxa" w:w="19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Monthly Cost (USD)</w:t>
            </w:r>
          </w:p>
        </w:tc>
        <w:tc>
          <w:tcPr>
            <w:tcW w:type="dxa" w:w="306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Purpose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AI-Powered IDE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Cursor or Windsurf</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$20 per user</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Accelerated coding productivity</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Primary AI Assistant</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Claude Pro or API credit</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$20–100</w:t>
            </w:r>
          </w:p>
        </w:tc>
        <w:tc>
          <w:tcPr>
            <w:tcW w:type="dxa" w:w="30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Development, research, documentation</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Secondary AI Reference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ChatGPT Plus</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$20</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Cross-validation, alternative models</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Image Generation</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Midjourney or Flux</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$10–30</w:t>
            </w:r>
          </w:p>
        </w:tc>
        <w:tc>
          <w:tcPr>
            <w:tcW w:type="dxa" w:w="30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Design assets and client materials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Code Repository</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GitHub Team</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$4 per user</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Version control and collaboration</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Team Workspace</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Notion</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$10 per user</w:t>
            </w:r>
          </w:p>
        </w:tc>
        <w:tc>
          <w:tcPr>
            <w:tcW w:type="dxa" w:w="30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Projects, documentation, wiki</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Design</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Figma Professional</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$15 per user</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UI/UX and client deliverables</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Local AI Hosting</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Ollama + Open WebUI</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Free</w:t>
            </w:r>
          </w:p>
        </w:tc>
        <w:tc>
          <w:tcPr>
            <w:tcW w:type="dxa" w:w="30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Offline LLM deployment</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Automation Engine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n8n or Make.com</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$20–50</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Client workflow automation</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Infrastructure</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Cloudflare</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$0–20</w:t>
            </w:r>
          </w:p>
        </w:tc>
        <w:tc>
          <w:tcPr>
            <w:tcW w:type="dxa" w:w="30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Domain, DNS, basic hosting</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Communications</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Zoom or Google Meet</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Free tier</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Client video meetings</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Total Monthly Software</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
            </w:r>
          </w:p>
        </w:tc>
        <w:tc>
          <w:tcPr>
            <w:tcW w:type="dxa" w:w="1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$180–280</w:t>
            </w:r>
          </w:p>
        </w:tc>
        <w:tc>
          <w:tcPr>
            <w:tcW w:type="dxa" w:w="30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
            </w:r>
          </w:p>
        </w:tc>
      </w:tr>
    </w:tbl>
    <w:p>
      <w:pPr>
        <w:pStyle w:val="Heading2"/>
        <w:spacing w:after="160" w:before="280"/>
      </w:pPr>
      <w:r>
        <w:rPr>
          <w:rFonts w:ascii="Calibri" w:cs="Calibri" w:eastAsia="Calibri" w:hAnsi="Calibri"/>
          <w:b/>
          <w:bCs/>
          <w:color w:val="2E75B6"/>
          <w:sz w:val="28"/>
          <w:szCs w:val="28"/>
        </w:rPr>
        <w:t xml:space="preserve">2.7 Master Establishment Timeline</w:t>
      </w:r>
    </w:p>
    <w:p>
      <w:pPr>
        <w:spacing w:after="160" w:line="300"/>
        <w:jc w:val="both"/>
      </w:pPr>
      <w:r>
        <w:rPr>
          <w:rFonts w:ascii="Calibri" w:cs="Calibri" w:eastAsia="Calibri" w:hAnsi="Calibri"/>
          <w:sz w:val="22"/>
          <w:szCs w:val="22"/>
        </w:rPr>
        <w:t xml:space="preserve">The following timeline represents the complete establishment path from funding confirmation to operational readiness. Every milestone is concrete and verifiable, and any delay against this schedule triggers an immediate review rather than a passive slip.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rPr>
          <w:tblHeader/>
        </w:trPr>
        <w:tc>
          <w:tcPr>
            <w:tcW w:type="dxa" w:w="16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Phase</w:t>
            </w:r>
          </w:p>
        </w:tc>
        <w:tc>
          <w:tcPr>
            <w:tcW w:type="dxa" w:w="20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Timeframe</w:t>
            </w:r>
          </w:p>
        </w:tc>
        <w:tc>
          <w:tcPr>
            <w:tcW w:type="dxa" w:w="576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Key Activities</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Preparation</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Day 1–7</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Funding confirmed; bank account opened; job listings posted; office space cleaned and prepared; basic furniture ordered</w:t>
            </w:r>
          </w:p>
        </w:tc>
      </w:tr>
      <w:tr>
        <w:tc>
          <w:tcPr>
            <w:tcW w:type="dxa" w:w="1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Selection</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Day 7–21</w:t>
            </w:r>
          </w:p>
        </w:tc>
        <w:tc>
          <w:tcPr>
            <w:tcW w:type="dxa" w:w="5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Initial interviews; practical task distribution; candidate evaluation; equipment purchase for phase one</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Commitment</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Day 21–30</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Trial offers extended; agreements signed; workstations assembled and tested; network configured</w:t>
            </w:r>
          </w:p>
        </w:tc>
      </w:tr>
      <w:tr>
        <w:tc>
          <w:tcPr>
            <w:tcW w:type="dxa" w:w="1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Onboarding</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Month 2 — Week 1–2</w:t>
            </w:r>
          </w:p>
        </w:tc>
        <w:tc>
          <w:tcPr>
            <w:tcW w:type="dxa" w:w="5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Team arrives; orientation; tool access provisioned; individual learning paths begin</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Practice</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Month 2 — Week 3–4</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Internal practice projects; team collaboration workflows tested; initial case study drafts</w:t>
            </w:r>
          </w:p>
        </w:tc>
      </w:tr>
      <w:tr>
        <w:tc>
          <w:tcPr>
            <w:tcW w:type="dxa" w:w="1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Market Entry</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Month 3 — Week 1–2</w:t>
            </w:r>
          </w:p>
        </w:tc>
        <w:tc>
          <w:tcPr>
            <w:tcW w:type="dxa" w:w="5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First client outreach; free consultation offers activated; sales representative begins daily pipeline work</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First Revenue</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Month 3 — Week 3–4</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First paid project delivered; case study documented; first retainer proposal extended</w:t>
            </w:r>
          </w:p>
        </w:tc>
      </w:tr>
    </w:tbl>
    <w:p>
      <w:pPr>
        <w:pStyle w:val="Heading1"/>
        <w:pageBreakBefore/>
        <w:spacing w:after="240" w:before="400"/>
      </w:pPr>
      <w:r>
        <w:rPr>
          <w:rFonts w:ascii="Calibri" w:cs="Calibri" w:eastAsia="Calibri" w:hAnsi="Calibri"/>
          <w:b/>
          <w:bCs/>
          <w:color w:val="1F4E79"/>
          <w:sz w:val="36"/>
          <w:szCs w:val="36"/>
        </w:rPr>
        <w:t xml:space="preserve">Phase 3 — Products and Services</w:t>
      </w:r>
    </w:p>
    <w:p>
      <w:pPr>
        <w:pBdr>
          <w:left w:val="single" w:color="2E75B6" w:sz="24" w:space="12"/>
        </w:pBdr>
        <w:spacing w:after="160" w:before="160" w:line="300"/>
        <w:ind w:left="360" w:right="360"/>
      </w:pPr>
      <w:r>
        <w:rPr>
          <w:rFonts w:ascii="Calibri" w:cs="Calibri" w:eastAsia="Calibri" w:hAnsi="Calibri"/>
          <w:i/>
          <w:iCs/>
          <w:color w:val="2E75B6"/>
          <w:sz w:val="22"/>
          <w:szCs w:val="22"/>
        </w:rPr>
        <w:t xml:space="preserve">The complete service portfolio, structured in three tiers aligned with team capability and market demand, with the specific three offerings that launch first and the pricing logic that governs every proposal.</w:t>
      </w:r>
    </w:p>
    <w:p>
      <w:pPr>
        <w:pStyle w:val="Heading2"/>
        <w:spacing w:after="160" w:before="280"/>
      </w:pPr>
      <w:r>
        <w:rPr>
          <w:rFonts w:ascii="Calibri" w:cs="Calibri" w:eastAsia="Calibri" w:hAnsi="Calibri"/>
          <w:b/>
          <w:bCs/>
          <w:color w:val="2E75B6"/>
          <w:sz w:val="28"/>
          <w:szCs w:val="28"/>
        </w:rPr>
        <w:t xml:space="preserve">3.1 Portfolio Structure</w:t>
      </w:r>
    </w:p>
    <w:p>
      <w:pPr>
        <w:spacing w:after="160" w:line="300"/>
        <w:jc w:val="both"/>
      </w:pPr>
      <w:r>
        <w:rPr>
          <w:rFonts w:ascii="Calibri" w:cs="Calibri" w:eastAsia="Calibri" w:hAnsi="Calibri"/>
          <w:sz w:val="22"/>
          <w:szCs w:val="22"/>
        </w:rPr>
        <w:t xml:space="preserve">The company’s offerings are organized into three tiers reflecting the readiness of the team and the complexity of delivery. Tier one services are immediately deliverable from month three onward, requiring standard technical skills that all team members develop during onboarding. Tier two services launch between months four and six, requiring more specialized capability built through initial client projects. Tier three services represent the year-two roadmap and become viable only after the team has accumulated the domain knowledge and reputation that complex engagements require.</w:t>
      </w:r>
    </w:p>
    <w:p>
      <w:pPr>
        <w:spacing w:after="160" w:line="300"/>
        <w:jc w:val="both"/>
      </w:pPr>
      <w:r>
        <w:rPr>
          <w:rFonts w:ascii="Calibri" w:cs="Calibri" w:eastAsia="Calibri" w:hAnsi="Calibri"/>
          <w:sz w:val="22"/>
          <w:szCs w:val="22"/>
        </w:rPr>
        <w:t xml:space="preserve">This tiering is not merely organizational but strategic. Launching tier one services first generates the cash flow, case studies, and team experience necessary to support tier two. Tier two services, in turn, establish the company’s reputation for serious work and produce the domain expertise that makes tier three offerings possible. Attempting to launch higher-tier services prematurely produces predictable failure: long delivery timelines, disappointed clients, and damaged reputation from which early-stage companies rarely recover.</w:t>
      </w:r>
    </w:p>
    <w:p>
      <w:pPr>
        <w:pStyle w:val="Heading2"/>
        <w:spacing w:after="160" w:before="280"/>
      </w:pPr>
      <w:r>
        <w:rPr>
          <w:rFonts w:ascii="Calibri" w:cs="Calibri" w:eastAsia="Calibri" w:hAnsi="Calibri"/>
          <w:b/>
          <w:bCs/>
          <w:color w:val="2E75B6"/>
          <w:sz w:val="28"/>
          <w:szCs w:val="28"/>
        </w:rPr>
        <w:t xml:space="preserve">3.2 Tier One — Launch Services</w:t>
      </w:r>
    </w:p>
    <w:p>
      <w:pPr>
        <w:spacing w:after="160" w:line="300"/>
        <w:jc w:val="both"/>
      </w:pPr>
      <w:r>
        <w:rPr>
          <w:rFonts w:ascii="Calibri" w:cs="Calibri" w:eastAsia="Calibri" w:hAnsi="Calibri"/>
          <w:sz w:val="22"/>
          <w:szCs w:val="22"/>
        </w:rPr>
        <w:t xml:space="preserve">The first five services are chosen to maximize the probability of early wins. Each has clear demand, a short delivery cycle, a defined scope, and a pricing model accessible to the small and medium businesses that form the company’s initial client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60"/>
        <w:gridCol w:w="2000"/>
        <w:gridCol w:w="1800"/>
      </w:tblGrid>
      <w:tr>
        <w:trPr>
          <w:tblHeader/>
        </w:trPr>
        <w:tc>
          <w:tcPr>
            <w:tcW w:type="dxa" w:w="20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Service</w:t>
            </w:r>
          </w:p>
        </w:tc>
        <w:tc>
          <w:tcPr>
            <w:tcW w:type="dxa" w:w="356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Description</w:t>
            </w:r>
          </w:p>
        </w:tc>
        <w:tc>
          <w:tcPr>
            <w:tcW w:type="dxa" w:w="20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Target Buyer</w:t>
            </w:r>
          </w:p>
        </w:tc>
        <w:tc>
          <w:tcPr>
            <w:tcW w:type="dxa" w:w="18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Price Range</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Business Process Automation</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Automation of repetitive administrative tasks — invoicing, reporting, document handling, WhatsApp responses — using workflow tools and custom scripts</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Any business with significant staff time spent on routine tasks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$500–3,000 project + optional retainer</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AI Chatbot for Business</w:t>
            </w:r>
          </w:p>
        </w:tc>
        <w:tc>
          <w:tcPr>
            <w:tcW w:type="dxa" w:w="3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WhatsApp or website-integrated conversational assistant trained on the client’s specific products, services, and FAQs, operating in Arabic and English</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Clinics, retail, restaurants, service businesses</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$300–1,500 + $100/month retainer</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AI-Powered Website</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Modern professional website with integrated chatbot, lead capture, and content generation capabilities</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Any business requiring online presence</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$500–2,000 + monthly maintenance</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Document Intelligence</w:t>
            </w:r>
          </w:p>
        </w:tc>
        <w:tc>
          <w:tcPr>
            <w:tcW w:type="dxa" w:w="3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Automated extraction, categorization, and summarization of data from paper documents, PDFs, and scanned invoices</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Accounting firms, factories, clinics, trading companies</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$500–2,000 project</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AI Strategy Consultation</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Structured on-site review of a business’s operations to identify specific AI-addressable opportunities and recommend a phased implementation roadmap</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Any business curious about AI but unsure where to begin</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$100–300 per session</w:t>
            </w:r>
          </w:p>
        </w:tc>
      </w:tr>
    </w:tbl>
    <w:p>
      <w:pPr>
        <w:spacing w:after="160" w:line="300"/>
        <w:jc w:val="both"/>
      </w:pPr>
      <w:r>
        <w:rPr>
          <w:rFonts w:ascii="Calibri" w:cs="Calibri" w:eastAsia="Calibri" w:hAnsi="Calibri"/>
          <w:sz w:val="22"/>
          <w:szCs w:val="22"/>
        </w:rPr>
        <w:t xml:space="preserve">The consultation offering deserves specific attention as a strategic element rather than a revenue line. Priced modestly and often offered free to qualified prospects, the consultation serves as the most effective lead generation tool the company has. A business owner who invites the team into their premises for a two-hour diagnostic conversation becomes substantially more likely to engage the company for paid work afterward, because the consultation both demonstrates competence and creates the trust relationship that Iraqi business decisions require.</w:t>
      </w:r>
    </w:p>
    <w:p>
      <w:pPr>
        <w:pStyle w:val="Heading2"/>
        <w:spacing w:after="160" w:before="280"/>
      </w:pPr>
      <w:r>
        <w:rPr>
          <w:rFonts w:ascii="Calibri" w:cs="Calibri" w:eastAsia="Calibri" w:hAnsi="Calibri"/>
          <w:b/>
          <w:bCs/>
          <w:color w:val="2E75B6"/>
          <w:sz w:val="28"/>
          <w:szCs w:val="28"/>
        </w:rPr>
        <w:t xml:space="preserve">3.3 Tier Two — Growth Services</w:t>
      </w:r>
    </w:p>
    <w:p>
      <w:pPr>
        <w:spacing w:after="160" w:line="300"/>
        <w:jc w:val="both"/>
      </w:pPr>
      <w:r>
        <w:rPr>
          <w:rFonts w:ascii="Calibri" w:cs="Calibri" w:eastAsia="Calibri" w:hAnsi="Calibri"/>
          <w:sz w:val="22"/>
          <w:szCs w:val="22"/>
        </w:rPr>
        <w:t xml:space="preserve">These services launch between months four and six, as the team completes its first tier one projects and develops the capabilities that tier two requires. Each represents a higher revenue opportunity but also a longer delivery cycle and greater technical 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60"/>
        <w:gridCol w:w="2000"/>
        <w:gridCol w:w="1800"/>
      </w:tblGrid>
      <w:tr>
        <w:trPr>
          <w:tblHeader/>
        </w:trPr>
        <w:tc>
          <w:tcPr>
            <w:tcW w:type="dxa" w:w="20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Service</w:t>
            </w:r>
          </w:p>
        </w:tc>
        <w:tc>
          <w:tcPr>
            <w:tcW w:type="dxa" w:w="356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Description</w:t>
            </w:r>
          </w:p>
        </w:tc>
        <w:tc>
          <w:tcPr>
            <w:tcW w:type="dxa" w:w="20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Target Buyer</w:t>
            </w:r>
          </w:p>
        </w:tc>
        <w:tc>
          <w:tcPr>
            <w:tcW w:type="dxa" w:w="18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Price Range</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Custom ERP System</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Full enterprise resource planning implementation covering inventory, human resources, sales, purchasing, and accounting, built specifically to the client’s workflow</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Factories, trading companies, multi-location retail</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$3,000–15,000 + monthly support</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Offline Camera AI Monitoring</w:t>
            </w:r>
          </w:p>
        </w:tc>
        <w:tc>
          <w:tcPr>
            <w:tcW w:type="dxa" w:w="3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Security camera system augmented with AI for person detection, movement analysis, counting, and behavior recognition, operating entirely on local hardware</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Factories, warehouses, clinics, secure facilities</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$2,000–8,000 + monthly retainer</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AI Inventory Intelligence</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Predictive system that forecasts stock requirements, generates purchase orders, and identifies slow-moving items</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Retail, pharmacies, trading companies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$1,500–5,000 project</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Offline LLM Deployment</w:t>
            </w:r>
          </w:p>
        </w:tc>
        <w:tc>
          <w:tcPr>
            <w:tcW w:type="dxa" w:w="3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Installation of a private AI assistant running on the client’s hardware, trained on their documents and accessible only within their network</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Law firms, clinics, government-adjacent businesses</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$1,000–4,000 project</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Arabic Content Generation</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Ongoing AI-assisted production of marketing content, product descriptions, and reports in Iraqi Arabic with appropriate cultural context</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Retail, real estate, marketing agencies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$200–800 per month</w:t>
            </w:r>
          </w:p>
        </w:tc>
      </w:tr>
    </w:tbl>
    <w:p>
      <w:pPr>
        <w:spacing w:after="160" w:line="300"/>
        <w:jc w:val="both"/>
      </w:pPr>
      <w:r>
        <w:rPr>
          <w:rFonts w:ascii="Calibri" w:cs="Calibri" w:eastAsia="Calibri" w:hAnsi="Calibri"/>
          <w:sz w:val="22"/>
          <w:szCs w:val="22"/>
        </w:rPr>
        <w:t xml:space="preserve">The offline camera monitoring offering warrants particular emphasis as the company’s intended flagship product. It combines high ticket value, clear operational benefit, defensible technical complexity, and strong ongoing retainer potential. A successful camera deployment at a single factory produces both meaningful revenue and an exceptional reference for future clients in the same sector.</w:t>
      </w:r>
    </w:p>
    <w:p>
      <w:pPr>
        <w:pStyle w:val="Heading2"/>
        <w:spacing w:after="160" w:before="280"/>
      </w:pPr>
      <w:r>
        <w:rPr>
          <w:rFonts w:ascii="Calibri" w:cs="Calibri" w:eastAsia="Calibri" w:hAnsi="Calibri"/>
          <w:b/>
          <w:bCs/>
          <w:color w:val="2E75B6"/>
          <w:sz w:val="28"/>
          <w:szCs w:val="28"/>
        </w:rPr>
        <w:t xml:space="preserve">3.4 Tier Three — Future Products</w:t>
      </w:r>
    </w:p>
    <w:p>
      <w:pPr>
        <w:spacing w:after="160" w:line="300"/>
        <w:jc w:val="both"/>
      </w:pPr>
      <w:r>
        <w:rPr>
          <w:rFonts w:ascii="Calibri" w:cs="Calibri" w:eastAsia="Calibri" w:hAnsi="Calibri"/>
          <w:sz w:val="22"/>
          <w:szCs w:val="22"/>
        </w:rPr>
        <w:t xml:space="preserve">Year two offerings represent the natural evolution of capabilities developed during the first twelve months. These are not speculative ideas but logical extensions of work the team will already have performed.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Service</w:t>
            </w:r>
          </w:p>
        </w:tc>
        <w:tc>
          <w:tcPr>
            <w:tcW w:type="dxa" w:w="38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Basis for Viability</w:t>
            </w:r>
          </w:p>
        </w:tc>
        <w:tc>
          <w:tcPr>
            <w:tcW w:type="dxa" w:w="336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Primary Market</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SaaS ERP for Iraqi SMBs</w:t>
            </w:r>
          </w:p>
        </w:tc>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Extraction of common components from 6–8 custom ERP projects into a configurable platform</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All Iraqi small and medium businesses</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AI Training Workshops</w:t>
            </w:r>
          </w:p>
        </w:tc>
        <w:tc>
          <w:tcPr>
            <w:tcW w:type="dxa" w:w="3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Reputation established through delivered projects attracts demand for knowledge transfer</w:t>
            </w:r>
          </w:p>
        </w:tc>
        <w:tc>
          <w:tcPr>
            <w:tcW w:type="dxa" w:w="3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Business owners, professionals, corporate employees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Predictive Maintenance for Industry</w:t>
            </w:r>
          </w:p>
        </w:tc>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Camera AI and sensor data experience extends naturally into equipment health monitoring</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Factories, industrial operators, logistics</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Arabic Voice AI Platform</w:t>
            </w:r>
          </w:p>
        </w:tc>
        <w:tc>
          <w:tcPr>
            <w:tcW w:type="dxa" w:w="3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Accumulated data and dialect understanding from chatbot deployments</w:t>
            </w:r>
          </w:p>
        </w:tc>
        <w:tc>
          <w:tcPr>
            <w:tcW w:type="dxa" w:w="3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Telecom, retail, government services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AI-Assisted HR and Payroll</w:t>
            </w:r>
          </w:p>
        </w:tc>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Business automation experience applied to one of the most common Iraqi SMB pain points</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Companies with 10–100 employees</w:t>
            </w:r>
          </w:p>
        </w:tc>
      </w:tr>
    </w:tbl>
    <w:p>
      <w:pPr>
        <w:pStyle w:val="Heading2"/>
        <w:spacing w:after="160" w:before="280"/>
      </w:pPr>
      <w:r>
        <w:rPr>
          <w:rFonts w:ascii="Calibri" w:cs="Calibri" w:eastAsia="Calibri" w:hAnsi="Calibri"/>
          <w:b/>
          <w:bCs/>
          <w:color w:val="2E75B6"/>
          <w:sz w:val="28"/>
          <w:szCs w:val="28"/>
        </w:rPr>
        <w:t xml:space="preserve">3.5 First Three Launch Products</w:t>
      </w:r>
    </w:p>
    <w:p>
      <w:pPr>
        <w:spacing w:after="160" w:line="300"/>
        <w:jc w:val="both"/>
      </w:pPr>
      <w:r>
        <w:rPr>
          <w:rFonts w:ascii="Calibri" w:cs="Calibri" w:eastAsia="Calibri" w:hAnsi="Calibri"/>
          <w:sz w:val="22"/>
          <w:szCs w:val="22"/>
        </w:rPr>
        <w:t xml:space="preserve">Of the tier one services, three are designated as the launch products for months three and four. These are the specific offerings that the sales representative leads with, the website features prominently, and the team develops standardized delivery processes around during onboarding.</w:t>
      </w:r>
    </w:p>
    <w:p>
      <w:pPr>
        <w:pStyle w:val="Heading3"/>
        <w:spacing w:after="120" w:before="200"/>
      </w:pPr>
      <w:r>
        <w:rPr>
          <w:rFonts w:ascii="Calibri" w:cs="Calibri" w:eastAsia="Calibri" w:hAnsi="Calibri"/>
          <w:b/>
          <w:bCs/>
          <w:color w:val="1F4E79"/>
          <w:sz w:val="24"/>
          <w:szCs w:val="24"/>
        </w:rPr>
        <w:t xml:space="preserve">Launch Product One — Business Automation Package</w:t>
      </w:r>
    </w:p>
    <w:p>
      <w:pPr>
        <w:spacing w:after="160" w:line="300"/>
        <w:jc w:val="both"/>
      </w:pPr>
      <w:r>
        <w:rPr>
          <w:rFonts w:ascii="Calibri" w:cs="Calibri" w:eastAsia="Calibri" w:hAnsi="Calibri"/>
          <w:sz w:val="22"/>
          <w:szCs w:val="22"/>
        </w:rPr>
        <w:t xml:space="preserve">A defined scope engagement that addresses one core workflow problem for a client: typically automating incoming WhatsApp inquiries, generating invoices from templates, and producing basic operational reports. The package is delivered in two to three weeks at a fixed price of eight hundred to fifteen hundred dollars, and includes a ninety-day maintenance period. The engagement is specifically designed to produce a visible result the client can demonstrate to their colleagues, which generates referrals.</w:t>
      </w:r>
    </w:p>
    <w:p>
      <w:pPr>
        <w:pStyle w:val="Heading3"/>
        <w:spacing w:after="120" w:before="200"/>
      </w:pPr>
      <w:r>
        <w:rPr>
          <w:rFonts w:ascii="Calibri" w:cs="Calibri" w:eastAsia="Calibri" w:hAnsi="Calibri"/>
          <w:b/>
          <w:bCs/>
          <w:color w:val="1F4E79"/>
          <w:sz w:val="24"/>
          <w:szCs w:val="24"/>
        </w:rPr>
        <w:t xml:space="preserve">Launch Product Two — AI-Powered Website with Chatbot</w:t>
      </w:r>
    </w:p>
    <w:p>
      <w:pPr>
        <w:spacing w:after="160" w:line="300"/>
        <w:jc w:val="both"/>
      </w:pPr>
      <w:r>
        <w:rPr>
          <w:rFonts w:ascii="Calibri" w:cs="Calibri" w:eastAsia="Calibri" w:hAnsi="Calibri"/>
          <w:sz w:val="22"/>
          <w:szCs w:val="22"/>
        </w:rPr>
        <w:t xml:space="preserve">A professional modern website with an integrated Arabic-capable chatbot, lead capture forms, and content generation for ongoing updates. Delivered in three weeks at seven hundred to fifteen hundred dollars, with optional monthly maintenance at one hundred to one hundred fifty dollars. This product has the broadest appeal across all target industries, the fastest delivery cycle, and the most visible output, making it ideal for building early momentum and case studies.</w:t>
      </w:r>
    </w:p>
    <w:p>
      <w:pPr>
        <w:pStyle w:val="Heading3"/>
        <w:spacing w:after="120" w:before="200"/>
      </w:pPr>
      <w:r>
        <w:rPr>
          <w:rFonts w:ascii="Calibri" w:cs="Calibri" w:eastAsia="Calibri" w:hAnsi="Calibri"/>
          <w:b/>
          <w:bCs/>
          <w:color w:val="1F4E79"/>
          <w:sz w:val="24"/>
          <w:szCs w:val="24"/>
        </w:rPr>
        <w:t xml:space="preserve">Launch Product Three — Camera AI Pilot Deployment</w:t>
      </w:r>
    </w:p>
    <w:p>
      <w:pPr>
        <w:spacing w:after="160" w:line="300"/>
        <w:jc w:val="both"/>
      </w:pPr>
      <w:r>
        <w:rPr>
          <w:rFonts w:ascii="Calibri" w:cs="Calibri" w:eastAsia="Calibri" w:hAnsi="Calibri"/>
          <w:sz w:val="22"/>
          <w:szCs w:val="22"/>
        </w:rPr>
        <w:t xml:space="preserve">A single-location camera AI installation, typically covering one to three cameras at a factory, warehouse, or clinic, providing entry detection, person counting, and alert generation, operating entirely on local hardware without any cloud dependency. Priced at two thousand to four thousand dollars depending on scope, with an ongoing monitoring retainer at one hundred fifty to three hundred dollars monthly. This is the premium offering that establishes the company’s reputation for serious technical work and opens the door to larger industrial engagements.</w:t>
      </w:r>
    </w:p>
    <w:p>
      <w:pPr>
        <w:pStyle w:val="Heading2"/>
        <w:spacing w:after="160" w:before="280"/>
      </w:pPr>
      <w:r>
        <w:rPr>
          <w:rFonts w:ascii="Calibri" w:cs="Calibri" w:eastAsia="Calibri" w:hAnsi="Calibri"/>
          <w:b/>
          <w:bCs/>
          <w:color w:val="2E75B6"/>
          <w:sz w:val="28"/>
          <w:szCs w:val="28"/>
        </w:rPr>
        <w:t xml:space="preserve">3.6 Pricing Strategy</w:t>
      </w:r>
    </w:p>
    <w:p>
      <w:pPr>
        <w:spacing w:after="160" w:line="300"/>
        <w:jc w:val="both"/>
      </w:pPr>
      <w:r>
        <w:rPr>
          <w:rFonts w:ascii="Calibri" w:cs="Calibri" w:eastAsia="Calibri" w:hAnsi="Calibri"/>
          <w:sz w:val="22"/>
          <w:szCs w:val="22"/>
        </w:rPr>
        <w:t xml:space="preserve">Pricing decisions are governed by four principles that apply across all services. Every proposal presents three tiers rather than a single number, allowing clients to self-select based on budget and perceived need. The middle tier is always designed to be the most attractive, with the basic tier creating affordability contrast and the premium tier creating value contrast. Every project price includes the option to convert to a monthly retainer after delivery, presented not as an upsell but as the natural continuation of a working relationship. Prices are never discounted through negotiation on the first project — the company either delivers at its stated price or walks away, protecting both margin and perceived value. Pricing is reviewed and adjusted upward at month nine, after the team has accumulated the efficiency gains and reputation that justify the increase.</w:t>
      </w:r>
    </w:p>
    <w:p>
      <w:pPr>
        <w:spacing w:after="160" w:line="300"/>
        <w:jc w:val="both"/>
      </w:pPr>
      <w:r>
        <w:rPr>
          <w:rFonts w:ascii="Calibri" w:cs="Calibri" w:eastAsia="Calibri" w:hAnsi="Calibri"/>
          <w:sz w:val="22"/>
          <w:szCs w:val="22"/>
        </w:rPr>
        <w:t xml:space="preserve">The three-tier structure is consistent across all services. For a typical project priced at one thousand dollars in its standard tier, the basic tier might be priced at seven hundred dollars with reduced features and no ongoing support, while the premium tier is priced at seventeen hundred dollars with extended support, additional features, and training for the client’s staff. In practice, approximately sixty to seventy percent of clients choose the standard tier, fifteen to twenty percent choose premium, and the remainder choose basic or decline.</w:t>
      </w:r>
    </w:p>
    <w:p>
      <w:pPr>
        <w:pStyle w:val="Heading2"/>
        <w:spacing w:after="160" w:before="280"/>
      </w:pPr>
      <w:r>
        <w:rPr>
          <w:rFonts w:ascii="Calibri" w:cs="Calibri" w:eastAsia="Calibri" w:hAnsi="Calibri"/>
          <w:b/>
          <w:bCs/>
          <w:color w:val="2E75B6"/>
          <w:sz w:val="28"/>
          <w:szCs w:val="28"/>
        </w:rPr>
        <w:t xml:space="preserve">3.7 Target Client Profiles</w:t>
      </w:r>
    </w:p>
    <w:p>
      <w:pPr>
        <w:spacing w:after="160" w:line="300"/>
        <w:jc w:val="both"/>
      </w:pPr>
      <w:r>
        <w:rPr>
          <w:rFonts w:ascii="Calibri" w:cs="Calibri" w:eastAsia="Calibri" w:hAnsi="Calibri"/>
          <w:sz w:val="22"/>
          <w:szCs w:val="22"/>
        </w:rPr>
        <w:t xml:space="preserve">The first twenty client relationships should be concentrated across five business categories, chosen for their combination of demonstrated pain, ability to make decisions quickly, and likelihood of generating referrals.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800"/>
        <w:gridCol w:w="2400"/>
        <w:gridCol w:w="2260"/>
      </w:tblGrid>
      <w:tr>
        <w:trPr>
          <w:tblHeader/>
        </w:trPr>
        <w:tc>
          <w:tcPr>
            <w:tcW w:type="dxa" w:w="19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Client Category</w:t>
            </w:r>
          </w:p>
        </w:tc>
        <w:tc>
          <w:tcPr>
            <w:tcW w:type="dxa" w:w="28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Primary Problem</w:t>
            </w:r>
          </w:p>
        </w:tc>
        <w:tc>
          <w:tcPr>
            <w:tcW w:type="dxa" w:w="24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Typical Solution</w:t>
            </w:r>
          </w:p>
        </w:tc>
        <w:tc>
          <w:tcPr>
            <w:tcW w:type="dxa" w:w="226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Expected First Engagement</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Private Medical Clinic</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Manual appointment booking, missed calls, patient follow-up</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WhatsApp chatbot plus reminder automation</w:t>
            </w:r>
          </w:p>
        </w:tc>
        <w:tc>
          <w:tcPr>
            <w:tcW w:type="dxa" w:w="2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$800–1,500 + $100–150/month</w:t>
            </w:r>
          </w:p>
        </w:tc>
      </w:tr>
      <w:tr>
        <w:tc>
          <w:tcPr>
            <w:tcW w:type="dxa" w:w="1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Trading / Import Company</w:t>
            </w:r>
          </w:p>
        </w:tc>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Manual inventory, lost orders, slow invoicing</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Inventory automation plus document intelligence</w:t>
            </w:r>
          </w:p>
        </w:tc>
        <w:tc>
          <w:tcPr>
            <w:tcW w:type="dxa" w:w="22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$1,500–5,000 project</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Real Estate Office</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No digital presence, slow client response, manual listings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Website plus AI chatbot for property inquiries</w:t>
            </w:r>
          </w:p>
        </w:tc>
        <w:tc>
          <w:tcPr>
            <w:tcW w:type="dxa" w:w="2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$700–1,500 + monthly</w:t>
            </w:r>
          </w:p>
        </w:tc>
      </w:tr>
      <w:tr>
        <w:tc>
          <w:tcPr>
            <w:tcW w:type="dxa" w:w="1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Restaurant or Retail</w:t>
            </w:r>
          </w:p>
        </w:tc>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No online ordering, manual reservations, no marketing system</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Website plus WhatsApp ordering plus social content</w:t>
            </w:r>
          </w:p>
        </w:tc>
        <w:tc>
          <w:tcPr>
            <w:tcW w:type="dxa" w:w="22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$600–1,200 + $100/month</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Small Factory or Workshop</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Security gaps, manual attendance, no operational visibility</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Offline camera AI plus attendance automation</w:t>
            </w:r>
          </w:p>
        </w:tc>
        <w:tc>
          <w:tcPr>
            <w:tcW w:type="dxa" w:w="2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$2,500–5,000 project</w:t>
            </w:r>
          </w:p>
        </w:tc>
      </w:tr>
    </w:tbl>
    <w:p>
      <w:pPr>
        <w:pStyle w:val="Heading1"/>
        <w:pageBreakBefore/>
        <w:spacing w:after="240" w:before="400"/>
      </w:pPr>
      <w:r>
        <w:rPr>
          <w:rFonts w:ascii="Calibri" w:cs="Calibri" w:eastAsia="Calibri" w:hAnsi="Calibri"/>
          <w:b/>
          <w:bCs/>
          <w:color w:val="1F4E79"/>
          <w:sz w:val="36"/>
          <w:szCs w:val="36"/>
        </w:rPr>
        <w:t xml:space="preserve">Phase 4 — Team Structure</w:t>
      </w:r>
    </w:p>
    <w:p>
      <w:pPr>
        <w:pBdr>
          <w:left w:val="single" w:color="2E75B6" w:sz="24" w:space="12"/>
        </w:pBdr>
        <w:spacing w:after="160" w:before="160" w:line="300"/>
        <w:ind w:left="360" w:right="360"/>
      </w:pPr>
      <w:r>
        <w:rPr>
          <w:rFonts w:ascii="Calibri" w:cs="Calibri" w:eastAsia="Calibri" w:hAnsi="Calibri"/>
          <w:i/>
          <w:iCs/>
          <w:color w:val="2E75B6"/>
          <w:sz w:val="22"/>
          <w:szCs w:val="22"/>
        </w:rPr>
        <w:t xml:space="preserve">The five people who build and deliver everything the company sells, the roles they fill, the compensation that motivates them, and the culture that keeps them together.</w:t>
      </w:r>
    </w:p>
    <w:p>
      <w:pPr>
        <w:pStyle w:val="Heading2"/>
        <w:spacing w:after="160" w:before="280"/>
      </w:pPr>
      <w:r>
        <w:rPr>
          <w:rFonts w:ascii="Calibri" w:cs="Calibri" w:eastAsia="Calibri" w:hAnsi="Calibri"/>
          <w:b/>
          <w:bCs/>
          <w:color w:val="2E75B6"/>
          <w:sz w:val="28"/>
          <w:szCs w:val="28"/>
        </w:rPr>
        <w:t xml:space="preserve">4.1 Organizational Structure</w:t>
      </w:r>
    </w:p>
    <w:p>
      <w:pPr>
        <w:spacing w:after="160" w:line="300"/>
        <w:jc w:val="both"/>
      </w:pPr>
      <w:r>
        <w:rPr>
          <w:rFonts w:ascii="Calibri" w:cs="Calibri" w:eastAsia="Calibri" w:hAnsi="Calibri"/>
          <w:sz w:val="22"/>
          <w:szCs w:val="22"/>
        </w:rPr>
        <w:t xml:space="preserve">The company operates with a deliberately flat structure during its first twelve months, consisting of the General Manager at the strategic level and a five-person operational team executing day-to-day work. The Tech Lead serves as the senior technical authority within the operational team and is the primary point of escalation for both internal technical questions and client-facing technical discussions. The Sales Representative serves as the primary external communication channel for new business, while delivery and ongoing client relationships are managed by the technical team members directly responsible for each project.</w:t>
      </w:r>
    </w:p>
    <w:p>
      <w:pPr>
        <w:spacing w:after="160" w:line="300"/>
        <w:jc w:val="both"/>
      </w:pPr>
      <w:r>
        <w:rPr>
          <w:rFonts w:ascii="Calibri" w:cs="Calibri" w:eastAsia="Calibri" w:hAnsi="Calibri"/>
          <w:sz w:val="22"/>
          <w:szCs w:val="22"/>
        </w:rPr>
        <w:t xml:space="preserve">This structure avoids two common early-stage mistakes. It does not create unnecessary management layers that slow decision-making, and it does not leave critical functions unassigned. Every team member has a clearly defined primary responsibility, a defined secondary responsibility that provides operational coverage when a colleague is unavailable, and a defined escalation path for questions outside their authority. The General Manager makes all decisions regarding hiring, firing, client pricing, and budget commitments above a defined threshold, which frees the technical team to focus on execution rather than administration.</w:t>
      </w:r>
    </w:p>
    <w:p>
      <w:pPr>
        <w:pStyle w:val="Heading2"/>
        <w:spacing w:after="160" w:before="280"/>
      </w:pPr>
      <w:r>
        <w:rPr>
          <w:rFonts w:ascii="Calibri" w:cs="Calibri" w:eastAsia="Calibri" w:hAnsi="Calibri"/>
          <w:b/>
          <w:bCs/>
          <w:color w:val="2E75B6"/>
          <w:sz w:val="28"/>
          <w:szCs w:val="28"/>
        </w:rPr>
        <w:t xml:space="preserve">4.2 The General Manager Role</w:t>
      </w:r>
    </w:p>
    <w:p>
      <w:pPr>
        <w:spacing w:after="160" w:line="300"/>
        <w:jc w:val="both"/>
      </w:pPr>
      <w:r>
        <w:rPr>
          <w:rFonts w:ascii="Calibri" w:cs="Calibri" w:eastAsia="Calibri" w:hAnsi="Calibri"/>
          <w:sz w:val="22"/>
          <w:szCs w:val="22"/>
        </w:rPr>
        <w:t xml:space="preserve">The General Manager is the founder and majority stakeholder, and the role is deliberately non-technical. The General Manager’s responsibilities are strategic, relational, and financial rather than operational. Daily involvement in technical delivery would both reduce the effectiveness of the role and undermine the authority of the Tech Lead.</w:t>
      </w:r>
    </w:p>
    <w:p>
      <w:pPr>
        <w:spacing w:after="160" w:line="300"/>
        <w:jc w:val="both"/>
      </w:pPr>
      <w:r>
        <w:rPr>
          <w:rFonts w:ascii="Calibri" w:cs="Calibri" w:eastAsia="Calibri" w:hAnsi="Calibri"/>
          <w:sz w:val="22"/>
          <w:szCs w:val="22"/>
        </w:rPr>
        <w:t xml:space="preserve">The specific responsibilities of the General Manager include setting and revisiting company direction, building and maintaining relationships with investors, opening doors to significant client opportunities, managing the overall financial health of the business, approving major expenditures, handling legal and regulatory matters, representing the company externally at industry events or in media interactions, and ensuring the team remains motivated, focused, and aligned with company goals. The General Manager is also the final authority on any decision that cannot be resolved within the team, including interpersonal conflicts and prioritization disputes.</w:t>
      </w:r>
    </w:p>
    <w:p>
      <w:pPr>
        <w:spacing w:after="160" w:line="300"/>
        <w:jc w:val="both"/>
      </w:pPr>
      <w:r>
        <w:rPr>
          <w:rFonts w:ascii="Calibri" w:cs="Calibri" w:eastAsia="Calibri" w:hAnsi="Calibri"/>
          <w:sz w:val="22"/>
          <w:szCs w:val="22"/>
        </w:rPr>
        <w:t xml:space="preserve">Equally important is what the General Manager does not do. The General Manager does not write code, does not micromanage project delivery, does not interact directly with clients on technical matters, and does not override the Tech Lead’s technical decisions. Preserving this boundary is essential to both the team’s effectiveness and the General Manager’s own capacity to perform the role effectively.</w:t>
      </w:r>
    </w:p>
    <w:p>
      <w:pPr>
        <w:pStyle w:val="Heading2"/>
        <w:spacing w:after="160" w:before="280"/>
      </w:pPr>
      <w:r>
        <w:rPr>
          <w:rFonts w:ascii="Calibri" w:cs="Calibri" w:eastAsia="Calibri" w:hAnsi="Calibri"/>
          <w:b/>
          <w:bCs/>
          <w:color w:val="2E75B6"/>
          <w:sz w:val="28"/>
          <w:szCs w:val="28"/>
        </w:rPr>
        <w:t xml:space="preserve">4.3 Tech Lead</w:t>
      </w:r>
    </w:p>
    <w:p>
      <w:pPr>
        <w:spacing w:after="160" w:line="300"/>
        <w:jc w:val="both"/>
      </w:pPr>
      <w:r>
        <w:rPr>
          <w:rFonts w:ascii="Calibri" w:cs="Calibri" w:eastAsia="Calibri" w:hAnsi="Calibri"/>
          <w:sz w:val="22"/>
          <w:szCs w:val="22"/>
        </w:rPr>
        <w:t xml:space="preserve">The Tech Lead is the most consequential hiring decision the company makes. This role combines senior technical capability, leadership ability, and client-facing competence, and the quality of this hire directly determines the company’s ability to deliver on its promises. A weak Tech Lead produces delayed projects, inconsistent quality, and team friction that compounds over time. A strong Tech Lead becomes the operational backbone of the company and, within twelve months, capable of running the first office independently while the General Manager focuses on expansion.</w:t>
      </w:r>
    </w:p>
    <w:p>
      <w:pPr>
        <w:spacing w:after="160" w:line="300"/>
        <w:jc w:val="both"/>
      </w:pPr>
      <w:r>
        <w:rPr>
          <w:rFonts w:ascii="Calibri" w:cs="Calibri" w:eastAsia="Calibri" w:hAnsi="Calibri"/>
          <w:sz w:val="22"/>
          <w:szCs w:val="22"/>
        </w:rPr>
        <w:t xml:space="preserve">The Tech Lead’s responsibilities include making all architectural decisions for client projects, reviewing and approving code and deliverables from the rest of the team, running the weekly technical planning meetings, serving as the senior technical voice in client meetings when required, mentoring junior team members, maintaining standards for documentation and code quality, and escalating resource or timeline concerns to the General Manager before they become crises. The Tech Lead reports directly to the General Manager and has full operational authority within the technical team.</w:t>
      </w:r>
    </w:p>
    <w:p>
      <w:pPr>
        <w:spacing w:after="160" w:line="300"/>
        <w:jc w:val="both"/>
      </w:pPr>
      <w:r>
        <w:rPr>
          <w:rFonts w:ascii="Calibri" w:cs="Calibri" w:eastAsia="Calibri" w:hAnsi="Calibri"/>
          <w:sz w:val="22"/>
          <w:szCs w:val="22"/>
        </w:rPr>
        <w:t xml:space="preserve">The profile sought is a developer aged twenty-four to thirty with at least two to three years of professional experience, strong capability in Python and at least one full-stack framework, demonstrated experience leading or organizing a technical project or team, and fluent communication in both Arabic and English. Previous exposure to AI and automation work is preferred but can be developed rapidly if the candidate has the underlying technical foundation. The compensation range is six hundred to eight hundred dollars per month base salary, with the profit-share arrangement described in Phase 7 providing significant additional upside.</w:t>
      </w:r>
    </w:p>
    <w:p>
      <w:pPr>
        <w:pStyle w:val="Heading2"/>
        <w:spacing w:after="160" w:before="280"/>
      </w:pPr>
      <w:r>
        <w:rPr>
          <w:rFonts w:ascii="Calibri" w:cs="Calibri" w:eastAsia="Calibri" w:hAnsi="Calibri"/>
          <w:b/>
          <w:bCs/>
          <w:color w:val="2E75B6"/>
          <w:sz w:val="28"/>
          <w:szCs w:val="28"/>
        </w:rPr>
        <w:t xml:space="preserve">4.4 AI Engineer and Automation Specialist</w:t>
      </w:r>
    </w:p>
    <w:p>
      <w:pPr>
        <w:spacing w:after="160" w:line="300"/>
        <w:jc w:val="both"/>
      </w:pPr>
      <w:r>
        <w:rPr>
          <w:rFonts w:ascii="Calibri" w:cs="Calibri" w:eastAsia="Calibri" w:hAnsi="Calibri"/>
          <w:sz w:val="22"/>
          <w:szCs w:val="22"/>
        </w:rPr>
        <w:t xml:space="preserve">The AI Engineer is the technical specialist responsible for the capabilities that differentiate the company from generic IT competitors. This role owns the deployment of local language models, the development and training of computer vision systems for camera AI projects, the construction of automation workflows using tools such as n8n and Python scripting, and the technical aspects of document intelligence solutions. The AI Engineer also leads the continuous evaluation of new tools, models, and techniques, briefing the rest of the team on developments that affect ongoing or future work.</w:t>
      </w:r>
    </w:p>
    <w:p>
      <w:pPr>
        <w:spacing w:after="160" w:line="300"/>
        <w:jc w:val="both"/>
      </w:pPr>
      <w:r>
        <w:rPr>
          <w:rFonts w:ascii="Calibri" w:cs="Calibri" w:eastAsia="Calibri" w:hAnsi="Calibri"/>
          <w:sz w:val="22"/>
          <w:szCs w:val="22"/>
        </w:rPr>
        <w:t xml:space="preserve">The profile is a developer aged twenty to twenty-seven, with strong Python capability, demonstrated curiosity about AI and machine learning through personal projects or self-directed learning, and comfort with the experimental and fast-changing nature of the field. Formal machine learning credentials are welcome but not required; what matters more is evidence of hands-on engagement with current AI tools. Compensation begins at four hundred fifty to six hundred dollars per month with per-project bonuses tied to successful delivery of AI-specific work.</w:t>
      </w:r>
    </w:p>
    <w:p>
      <w:pPr>
        <w:pStyle w:val="Heading2"/>
        <w:spacing w:after="160" w:before="280"/>
      </w:pPr>
      <w:r>
        <w:rPr>
          <w:rFonts w:ascii="Calibri" w:cs="Calibri" w:eastAsia="Calibri" w:hAnsi="Calibri"/>
          <w:b/>
          <w:bCs/>
          <w:color w:val="2E75B6"/>
          <w:sz w:val="28"/>
          <w:szCs w:val="28"/>
        </w:rPr>
        <w:t xml:space="preserve">4.5 Full-Stack Developer</w:t>
      </w:r>
    </w:p>
    <w:p>
      <w:pPr>
        <w:spacing w:after="160" w:line="300"/>
        <w:jc w:val="both"/>
      </w:pPr>
      <w:r>
        <w:rPr>
          <w:rFonts w:ascii="Calibri" w:cs="Calibri" w:eastAsia="Calibri" w:hAnsi="Calibri"/>
          <w:sz w:val="22"/>
          <w:szCs w:val="22"/>
        </w:rPr>
        <w:t xml:space="preserve">The Full-Stack Developer is responsible for the broader application development work that constitutes the bulk of client deliverables, including websites, ERP systems, client dashboards, and the integrations that connect AI capabilities to client-facing interfaces. This role also owns the database design and backend architecture for custom applications, works closely with the Designer to translate visual designs into functional interfaces, and maintains the operational systems that run the company’s own infrastructure.</w:t>
      </w:r>
    </w:p>
    <w:p>
      <w:pPr>
        <w:spacing w:after="160" w:line="300"/>
        <w:jc w:val="both"/>
      </w:pPr>
      <w:r>
        <w:rPr>
          <w:rFonts w:ascii="Calibri" w:cs="Calibri" w:eastAsia="Calibri" w:hAnsi="Calibri"/>
          <w:sz w:val="22"/>
          <w:szCs w:val="22"/>
        </w:rPr>
        <w:t xml:space="preserve">The profile is a developer aged twenty to twenty-eight with demonstrated capability in at least one modern frontend framework such as React or Vue, one backend environment such as Node.js or Python Django, relational database design, and API construction. A portfolio of real built projects — whether personal, academic, or freelance — matters substantially more than any certification. Compensation begins at four hundred to five hundred fifty dollars per month with project delivery bonuses.</w:t>
      </w:r>
    </w:p>
    <w:p>
      <w:pPr>
        <w:pStyle w:val="Heading2"/>
        <w:spacing w:after="160" w:before="280"/>
      </w:pPr>
      <w:r>
        <w:rPr>
          <w:rFonts w:ascii="Calibri" w:cs="Calibri" w:eastAsia="Calibri" w:hAnsi="Calibri"/>
          <w:b/>
          <w:bCs/>
          <w:color w:val="2E75B6"/>
          <w:sz w:val="28"/>
          <w:szCs w:val="28"/>
        </w:rPr>
        <w:t xml:space="preserve">4.6 Designer and Frontend</w:t>
      </w:r>
    </w:p>
    <w:p>
      <w:pPr>
        <w:spacing w:after="160" w:line="300"/>
        <w:jc w:val="both"/>
      </w:pPr>
      <w:r>
        <w:rPr>
          <w:rFonts w:ascii="Calibri" w:cs="Calibri" w:eastAsia="Calibri" w:hAnsi="Calibri"/>
          <w:sz w:val="22"/>
          <w:szCs w:val="22"/>
        </w:rPr>
        <w:t xml:space="preserve">The Designer owns the visual output of the company, including the user interfaces of every deliverable, the company’s own marketing materials, social media visual content, and brand identity elements for clients who require them. The role combines traditional design capability with fluency in AI-assisted design tools that accelerate production and enable the small team to deliver professional visual work at scale. The Designer also provides basic frontend implementation support, closing the gap between design files and working interfaces.</w:t>
      </w:r>
    </w:p>
    <w:p>
      <w:pPr>
        <w:spacing w:after="160" w:line="300"/>
        <w:jc w:val="both"/>
      </w:pPr>
      <w:r>
        <w:rPr>
          <w:rFonts w:ascii="Calibri" w:cs="Calibri" w:eastAsia="Calibri" w:hAnsi="Calibri"/>
          <w:sz w:val="22"/>
          <w:szCs w:val="22"/>
        </w:rPr>
        <w:t xml:space="preserve">The profile is a designer aged twenty to twenty-seven with strong Figma capability, basic HTML and CSS understanding, a portfolio demonstrating clean and modern aesthetic judgment, and comfort with AI-powered image generation tools. Compensation begins at three hundred to five hundred dollars per month with creative output bonuses tied to deliverable quality.</w:t>
      </w:r>
    </w:p>
    <w:p>
      <w:pPr>
        <w:pStyle w:val="Heading2"/>
        <w:spacing w:after="160" w:before="280"/>
      </w:pPr>
      <w:r>
        <w:rPr>
          <w:rFonts w:ascii="Calibri" w:cs="Calibri" w:eastAsia="Calibri" w:hAnsi="Calibri"/>
          <w:b/>
          <w:bCs/>
          <w:color w:val="2E75B6"/>
          <w:sz w:val="28"/>
          <w:szCs w:val="28"/>
        </w:rPr>
        <w:t xml:space="preserve">4.7 Sales Representative</w:t>
      </w:r>
    </w:p>
    <w:p>
      <w:pPr>
        <w:spacing w:after="160" w:line="300"/>
        <w:jc w:val="both"/>
      </w:pPr>
      <w:r>
        <w:rPr>
          <w:rFonts w:ascii="Calibri" w:cs="Calibri" w:eastAsia="Calibri" w:hAnsi="Calibri"/>
          <w:sz w:val="22"/>
          <w:szCs w:val="22"/>
        </w:rPr>
        <w:t xml:space="preserve">The Sales Representative is the primary external voice of the company in its earliest months and the engine of the client acquisition pipeline. The role involves daily outreach to potential clients through multiple channels, conducting initial meetings and consultations, preparing and sending proposals, following up on active opportunities, and maintaining the ongoing relationships that produce retainer renewals and referrals. The Sales Representative also serves as the bridge between client expectations and the technical team, translating business problems into technical requirements and technical constraints into business language.</w:t>
      </w:r>
    </w:p>
    <w:p>
      <w:pPr>
        <w:spacing w:after="160" w:line="300"/>
        <w:jc w:val="both"/>
      </w:pPr>
      <w:r>
        <w:rPr>
          <w:rFonts w:ascii="Calibri" w:cs="Calibri" w:eastAsia="Calibri" w:hAnsi="Calibri"/>
          <w:sz w:val="22"/>
          <w:szCs w:val="22"/>
        </w:rPr>
        <w:t xml:space="preserve">This role is heavily commission-driven by design. Base salary is kept modest at three hundred to four hundred dollars per month, supplemented by commission of five to ten percent on closed deal value. This structure aligns the Sales Representative’s earnings with actual business outcomes rather than activity, and a successful Sales Representative in month nine should be earning substantially more through commission than through base salary. The profile sought is a person aged twenty-two to thirty with excellent Arabic communication, professional presentation, enough technical literacy to explain the company’s offerings clearly, and the psychological resilience that sales roles require.</w:t>
      </w:r>
    </w:p>
    <w:p>
      <w:pPr>
        <w:pStyle w:val="Heading2"/>
        <w:spacing w:after="160" w:before="280"/>
      </w:pPr>
      <w:r>
        <w:rPr>
          <w:rFonts w:ascii="Calibri" w:cs="Calibri" w:eastAsia="Calibri" w:hAnsi="Calibri"/>
          <w:b/>
          <w:bCs/>
          <w:color w:val="2E75B6"/>
          <w:sz w:val="28"/>
          <w:szCs w:val="28"/>
        </w:rPr>
        <w:t xml:space="preserve">4.8 Compensation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Role</w:t>
            </w:r>
          </w:p>
        </w:tc>
        <w:tc>
          <w:tcPr>
            <w:tcW w:type="dxa" w:w="24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Base Salary Monthly (USD)</w:t>
            </w:r>
          </w:p>
        </w:tc>
        <w:tc>
          <w:tcPr>
            <w:tcW w:type="dxa" w:w="24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Variable Compensation</w:t>
            </w:r>
          </w:p>
        </w:tc>
        <w:tc>
          <w:tcPr>
            <w:tcW w:type="dxa" w:w="236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Post-Month-12 Upside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Tech Lead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$600–800</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Project delivery bonus</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Profit share, priority equity</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AI Engineer</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$450–600</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Per-project bonus</w:t>
            </w:r>
          </w:p>
        </w:tc>
        <w:tc>
          <w:tcPr>
            <w:tcW w:type="dxa" w:w="2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Profit share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Full-Stack Developer</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$400–550</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Per-project bonus</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Profit share</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Designer</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$300–500</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Creative output bonus</w:t>
            </w:r>
          </w:p>
        </w:tc>
        <w:tc>
          <w:tcPr>
            <w:tcW w:type="dxa" w:w="2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Profit share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Sales Representative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$300–400</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5–10% commission on closed deals</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Profit share, expanded role</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Combined Monthly Base</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$2,050–2,850</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Variable</w:t>
            </w:r>
          </w:p>
        </w:tc>
        <w:tc>
          <w:tcPr>
            <w:tcW w:type="dxa" w:w="2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Team equity pool up to 4%</w:t>
            </w:r>
          </w:p>
        </w:tc>
      </w:tr>
    </w:tbl>
    <w:p>
      <w:pPr>
        <w:spacing w:after="160" w:line="300"/>
        <w:jc w:val="both"/>
      </w:pPr>
      <w:r>
        <w:rPr>
          <w:rFonts w:ascii="Calibri" w:cs="Calibri" w:eastAsia="Calibri" w:hAnsi="Calibri"/>
          <w:sz w:val="22"/>
          <w:szCs w:val="22"/>
        </w:rPr>
        <w:t xml:space="preserve">Beyond month six, a structured profit-share pool equal to ten to fifteen percent of monthly net profit is distributed across the team based on performance assessment by the General Manager in consultation with the Tech Lead. This arrangement keeps fixed costs low during the earliest and most financially fragile months while ensuring that team members share meaningfully in the company’s success once it achieves profitability. Beyond month twelve, top performers become eligible for formal equity allocation from the team equity pool described in Phase 7.</w:t>
      </w:r>
    </w:p>
    <w:p>
      <w:pPr>
        <w:pStyle w:val="Heading2"/>
        <w:spacing w:after="160" w:before="280"/>
      </w:pPr>
      <w:r>
        <w:rPr>
          <w:rFonts w:ascii="Calibri" w:cs="Calibri" w:eastAsia="Calibri" w:hAnsi="Calibri"/>
          <w:b/>
          <w:bCs/>
          <w:color w:val="2E75B6"/>
          <w:sz w:val="28"/>
          <w:szCs w:val="28"/>
        </w:rPr>
        <w:t xml:space="preserve">4.9 Training and Capability Development</w:t>
      </w:r>
    </w:p>
    <w:p>
      <w:pPr>
        <w:spacing w:after="160" w:line="300"/>
        <w:jc w:val="both"/>
      </w:pPr>
      <w:r>
        <w:rPr>
          <w:rFonts w:ascii="Calibri" w:cs="Calibri" w:eastAsia="Calibri" w:hAnsi="Calibri"/>
          <w:sz w:val="22"/>
          <w:szCs w:val="22"/>
        </w:rPr>
        <w:t xml:space="preserve">The first two months of each team member’s tenure are structured as a formal development period rather than immediate deployment on client work. During this period, general capability development applies uniformly across all roles and includes fluent use of the company’s AI tools, understanding of the complete product and service portfolio, mastery of project management and documentation conventions, and alignment on client communication standards.</w:t>
      </w:r>
    </w:p>
    <w:p>
      <w:pPr>
        <w:spacing w:after="160" w:line="300"/>
        <w:jc w:val="both"/>
      </w:pPr>
      <w:r>
        <w:rPr>
          <w:rFonts w:ascii="Calibri" w:cs="Calibri" w:eastAsia="Calibri" w:hAnsi="Calibri"/>
          <w:sz w:val="22"/>
          <w:szCs w:val="22"/>
        </w:rPr>
        <w:t xml:space="preserve">Role-specific development addresses the particular technical skills each position requires. The Tech Lead focuses on architectural patterns, code review practices, and client-facing technical communication. The AI Engineer concentrates on local language model deployment, computer vision with OpenCV and YOLO frameworks, and automation pipeline construction. The Full-Stack Developer develops capability in ERP architecture, API design, and dashboard construction. The Designer develops workflow efficiency with AI-assisted design tools and the visual conventions that translate well to Iraqi business aesthetic preferences. The Sales Representative develops deep product knowledge, objection handling scripts, and pipeline management discipline.</w:t>
      </w:r>
    </w:p>
    <w:p>
      <w:pPr>
        <w:spacing w:after="160" w:line="300"/>
        <w:jc w:val="both"/>
      </w:pPr>
      <w:r>
        <w:rPr>
          <w:rFonts w:ascii="Calibri" w:cs="Calibri" w:eastAsia="Calibri" w:hAnsi="Calibri"/>
          <w:sz w:val="22"/>
          <w:szCs w:val="22"/>
        </w:rPr>
        <w:t xml:space="preserve">The productivity ramp for each role varies. The Sales Representative and Designer reach productive output within two to four weeks. The Tech Lead reaches productive output within two to four weeks, given that the seniority of the hire means less ground-up learning is required. The Full-Stack Developer reaches productive output within four to eight weeks depending on prior experience with the specific frameworks used. The AI Engineer requires the longest ramp, typically six to ten weeks, because the field’s breadth and the tools’ rapid evolution require substantial initial learning investment.</w:t>
      </w:r>
    </w:p>
    <w:p>
      <w:pPr>
        <w:pStyle w:val="Heading2"/>
        <w:spacing w:after="160" w:before="280"/>
      </w:pPr>
      <w:r>
        <w:rPr>
          <w:rFonts w:ascii="Calibri" w:cs="Calibri" w:eastAsia="Calibri" w:hAnsi="Calibri"/>
          <w:b/>
          <w:bCs/>
          <w:color w:val="2E75B6"/>
          <w:sz w:val="28"/>
          <w:szCs w:val="28"/>
        </w:rPr>
        <w:t xml:space="preserve">4.10 Culture and Working Norms</w:t>
      </w:r>
    </w:p>
    <w:p>
      <w:pPr>
        <w:spacing w:after="160" w:line="300"/>
        <w:jc w:val="both"/>
      </w:pPr>
      <w:r>
        <w:rPr>
          <w:rFonts w:ascii="Calibri" w:cs="Calibri" w:eastAsia="Calibri" w:hAnsi="Calibri"/>
          <w:sz w:val="22"/>
          <w:szCs w:val="22"/>
        </w:rPr>
        <w:t xml:space="preserve">The culture the company establishes in its first ninety days shapes how it operates for years afterward. Several non-negotiable standards are communicated clearly on the first day of each team member’s tenure and reinforced consistently thereafter.</w:t>
      </w:r>
    </w:p>
    <w:p>
      <w:pPr>
        <w:spacing w:after="160" w:line="300"/>
        <w:jc w:val="both"/>
      </w:pPr>
      <w:r>
        <w:rPr>
          <w:rFonts w:ascii="Calibri" w:cs="Calibri" w:eastAsia="Calibri" w:hAnsi="Calibri"/>
          <w:sz w:val="22"/>
          <w:szCs w:val="22"/>
        </w:rPr>
        <w:t xml:space="preserve">Team members arrive on time every working day, and any exception is communicated in advance rather than explained afterward. Every task carries a committed deadline, and deadlines are respected or renegotiated before they are missed, never silently. Problems are surfaced immediately, because a problem identified early is almost always solvable while a problem hidden becomes a crisis. Continuous learning is a daily job requirement rather than an optional activity, with at least one hour per day dedicated to skill development. Client communication is a privilege that flows through defined channels rather than a free-for-all, with the Sales Representative owning primary client contact and technical team members engaging clients only with approval.</w:t>
      </w:r>
    </w:p>
    <w:p>
      <w:pPr>
        <w:spacing w:after="160" w:line="300"/>
        <w:jc w:val="both"/>
      </w:pPr>
      <w:r>
        <w:rPr>
          <w:rFonts w:ascii="Calibri" w:cs="Calibri" w:eastAsia="Calibri" w:hAnsi="Calibri"/>
          <w:sz w:val="22"/>
          <w:szCs w:val="22"/>
        </w:rPr>
        <w:t xml:space="preserve">In return, the company commits to treating team members as professionals rather than junior staff. Compensation is fair and reviewed as the company grows. Learning opportunities are substantive rather than decorative, and the growth path from joining team member to senior role is genuinely available to those who demonstrate performance. Feedback is direct and two-way, delivered in formal monthly reviews and supplemented by honest real-time conversations as needed. The General Manager is accessible for questions and concerns but does not interfere in day-to-day technical matters, respecting both the team’s autonomy and the Tech Lead’s authority.</w:t>
      </w:r>
    </w:p>
    <w:p>
      <w:pPr>
        <w:pStyle w:val="Heading2"/>
        <w:spacing w:after="160" w:before="280"/>
      </w:pPr>
      <w:r>
        <w:rPr>
          <w:rFonts w:ascii="Calibri" w:cs="Calibri" w:eastAsia="Calibri" w:hAnsi="Calibri"/>
          <w:b/>
          <w:bCs/>
          <w:color w:val="2E75B6"/>
          <w:sz w:val="28"/>
          <w:szCs w:val="28"/>
        </w:rPr>
        <w:t xml:space="preserve">4.11 Hiring Sequence and Team Growth</w:t>
      </w:r>
    </w:p>
    <w:p>
      <w:pPr>
        <w:spacing w:after="160" w:line="300"/>
        <w:jc w:val="both"/>
      </w:pPr>
      <w:r>
        <w:rPr>
          <w:rFonts w:ascii="Calibri" w:cs="Calibri" w:eastAsia="Calibri" w:hAnsi="Calibri"/>
          <w:sz w:val="22"/>
          <w:szCs w:val="22"/>
        </w:rPr>
        <w:t xml:space="preserve">The full team is not hired simultaneously. A phased approach matches the expansion of team capacity to the growth of client workload, preventing both overcapacity during the earliest revenue-light months and capacity shortfalls once revenue accelerates.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000"/>
        <w:gridCol w:w="396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Hiring Order</w:t>
            </w:r>
          </w:p>
        </w:tc>
        <w:tc>
          <w:tcPr>
            <w:tcW w:type="dxa" w:w="22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Role</w:t>
            </w:r>
          </w:p>
        </w:tc>
        <w:tc>
          <w:tcPr>
            <w:tcW w:type="dxa" w:w="20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Timing</w:t>
            </w:r>
          </w:p>
        </w:tc>
        <w:tc>
          <w:tcPr>
            <w:tcW w:type="dxa" w:w="396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Rationale</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1</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Tech Lead</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Week 4 of establishment</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All subsequent technical work depends on this person; hiring first allows Tech Lead to participate in evaluating other candidates</w:t>
            </w:r>
          </w:p>
        </w:tc>
      </w:tr>
      <w:tr>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2</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AI Engineer</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Week 4 of establishment</w:t>
            </w:r>
          </w:p>
        </w:tc>
        <w:tc>
          <w:tcPr>
            <w:tcW w:type="dxa" w:w="3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Core product capability; must be in place for first client delivery</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3</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Full-Stack Developer</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Week 4 of establishment</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Required for first client projects alongside AI Engineer</w:t>
            </w:r>
          </w:p>
        </w:tc>
      </w:tr>
      <w:tr>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4</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Sales Representative</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Month 2</w:t>
            </w:r>
          </w:p>
        </w:tc>
        <w:tc>
          <w:tcPr>
            <w:tcW w:type="dxa" w:w="3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Hired once there is something concrete to sell, which is after the team has begun internal practice projects</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5</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Designer</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Month 2–3</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Can be initially supplemented with freelance support if budget demands, but dedicated designer becomes necessary once visible client deliverables are in demand</w:t>
            </w:r>
          </w:p>
        </w:tc>
      </w:tr>
      <w:tr>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6</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Junior Developer</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Month 6–7</w:t>
            </w:r>
          </w:p>
        </w:tc>
        <w:tc>
          <w:tcPr>
            <w:tcW w:type="dxa" w:w="3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Added once revenue supports expansion and senior team is at capacity</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7</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Project Manager</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Month 9–10</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Added once concurrent project count exceeds what the Tech Lead can track alongside technical work</w:t>
            </w:r>
          </w:p>
        </w:tc>
      </w:tr>
    </w:tbl>
    <w:p>
      <w:pPr>
        <w:pStyle w:val="Heading1"/>
        <w:pageBreakBefore/>
        <w:spacing w:after="240" w:before="400"/>
      </w:pPr>
      <w:r>
        <w:rPr>
          <w:rFonts w:ascii="Calibri" w:cs="Calibri" w:eastAsia="Calibri" w:hAnsi="Calibri"/>
          <w:b/>
          <w:bCs/>
          <w:color w:val="1F4E79"/>
          <w:sz w:val="36"/>
          <w:szCs w:val="36"/>
        </w:rPr>
        <w:t xml:space="preserve">Phase 5 — Space and Equipment</w:t>
      </w:r>
    </w:p>
    <w:p>
      <w:pPr>
        <w:pBdr>
          <w:left w:val="single" w:color="2E75B6" w:sz="24" w:space="12"/>
        </w:pBdr>
        <w:spacing w:after="160" w:before="160" w:line="300"/>
        <w:ind w:left="360" w:right="360"/>
      </w:pPr>
      <w:r>
        <w:rPr>
          <w:rFonts w:ascii="Calibri" w:cs="Calibri" w:eastAsia="Calibri" w:hAnsi="Calibri"/>
          <w:i/>
          <w:iCs/>
          <w:color w:val="2E75B6"/>
          <w:sz w:val="22"/>
          <w:szCs w:val="22"/>
        </w:rPr>
        <w:t xml:space="preserve">The physical foundation: office layout, workstation specifications, power infrastructure, network architecture, and the security measures that protect both equipment and client data.</w:t>
      </w:r>
    </w:p>
    <w:p>
      <w:pPr>
        <w:pStyle w:val="Heading2"/>
        <w:spacing w:after="160" w:before="280"/>
      </w:pPr>
      <w:r>
        <w:rPr>
          <w:rFonts w:ascii="Calibri" w:cs="Calibri" w:eastAsia="Calibri" w:hAnsi="Calibri"/>
          <w:b/>
          <w:bCs/>
          <w:color w:val="2E75B6"/>
          <w:sz w:val="28"/>
          <w:szCs w:val="28"/>
        </w:rPr>
        <w:t xml:space="preserve">5.1 Office Configuration</w:t>
      </w:r>
    </w:p>
    <w:p>
      <w:pPr>
        <w:spacing w:after="160" w:line="300"/>
        <w:jc w:val="both"/>
      </w:pPr>
      <w:r>
        <w:rPr>
          <w:rFonts w:ascii="Calibri" w:cs="Calibri" w:eastAsia="Calibri" w:hAnsi="Calibri"/>
          <w:sz w:val="22"/>
          <w:szCs w:val="22"/>
        </w:rPr>
        <w:t xml:space="preserve">The room designated for conversion into office space measures between twenty and thirty-five square meters, which is sufficient for five workstations, a small client meeting area, shared storage, and the common spaces a working office requires. The layout is organized around three principles: the technical team occupies the interior of the room where their work can proceed without interruption, client-facing space is positioned near the entrance so visitors do not walk through the working area, and shared resources including the server corner and whiteboard are centrally accessible to all team members.</w:t>
      </w:r>
    </w:p>
    <w:p>
      <w:pPr>
        <w:spacing w:after="160" w:line="300"/>
        <w:jc w:val="both"/>
      </w:pPr>
      <w:r>
        <w:rPr>
          <w:rFonts w:ascii="Calibri" w:cs="Calibri" w:eastAsia="Calibri" w:hAnsi="Calibri"/>
          <w:sz w:val="22"/>
          <w:szCs w:val="22"/>
        </w:rPr>
        <w:t xml:space="preserve">The Tech Lead’s workstation is positioned centrally within the technical area, providing a direct line of sight to other team members for informal mentoring and rapid collaboration. The AI Engineer’s workstation is adjacent, given that their work frequently requires collaboration on shared technical problems. The Full-Stack Developer and Designer occupy the remaining interior positions, and the Sales Representative sits closer to the entrance and meeting area, which reflects both their client-facing role and their need for occasional video calls that benefit from modest acoustic separation.</w:t>
      </w:r>
    </w:p>
    <w:p>
      <w:pPr>
        <w:spacing w:after="160" w:line="300"/>
        <w:jc w:val="both"/>
      </w:pPr>
      <w:r>
        <w:rPr>
          <w:rFonts w:ascii="Calibri" w:cs="Calibri" w:eastAsia="Calibri" w:hAnsi="Calibri"/>
          <w:sz w:val="22"/>
          <w:szCs w:val="22"/>
        </w:rPr>
        <w:t xml:space="preserve">The meeting area consists of a small table with two or three chairs positioned near the door, designed for brief client visits and informal internal discussions. It is deliberately not large enough to become a general meeting room, which would consume workspace. When larger meetings are required — weekly team meetings, investor updates, occasional client presentations — the team uses the entire room with chairs repositioned temporarily. A large whiteboard mounted prominently serves as the shared planning surface for architectural discussions, weekly priority setting, and ad hoc problem-solving.</w:t>
      </w:r>
    </w:p>
    <w:p>
      <w:pPr>
        <w:pStyle w:val="Heading2"/>
        <w:spacing w:after="160" w:before="280"/>
      </w:pPr>
      <w:r>
        <w:rPr>
          <w:rFonts w:ascii="Calibri" w:cs="Calibri" w:eastAsia="Calibri" w:hAnsi="Calibri"/>
          <w:b/>
          <w:bCs/>
          <w:color w:val="2E75B6"/>
          <w:sz w:val="28"/>
          <w:szCs w:val="28"/>
        </w:rPr>
        <w:t xml:space="preserve">5.2 Workstation Specifications</w:t>
      </w:r>
    </w:p>
    <w:p>
      <w:pPr>
        <w:spacing w:after="160" w:line="300"/>
        <w:jc w:val="both"/>
      </w:pPr>
      <w:r>
        <w:rPr>
          <w:rFonts w:ascii="Calibri" w:cs="Calibri" w:eastAsia="Calibri" w:hAnsi="Calibri"/>
          <w:sz w:val="22"/>
          <w:szCs w:val="22"/>
        </w:rPr>
        <w:t xml:space="preserve">Hardware specifications are calibrated to the actual work each role performs rather than applied uniformly. The Tech Lead and AI Engineer, who run local language models and perform computer vision work, require high-performance machines with substantial memory and dedicated graphics capability. The Full-Stack Developer requires solid mid-range hardware capable of running multiple development environments simultaneously. The Designer requires a color-accurate display and sufficient graphics capability for AI-assisted design tools. The Sales Representative requires a standard business workstation sufficient for communications, presentations, and CRM work.</w:t>
      </w:r>
    </w:p>
    <w:p>
      <w:pPr>
        <w:pStyle w:val="Heading3"/>
        <w:spacing w:after="120" w:before="200"/>
      </w:pPr>
      <w:r>
        <w:rPr>
          <w:rFonts w:ascii="Calibri" w:cs="Calibri" w:eastAsia="Calibri" w:hAnsi="Calibri"/>
          <w:b/>
          <w:bCs/>
          <w:color w:val="1F4E79"/>
          <w:sz w:val="24"/>
          <w:szCs w:val="24"/>
        </w:rPr>
        <w:t xml:space="preserve">High-Performance Workstations (Tech Lead and AI Engineer)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Component</w:t>
            </w:r>
          </w:p>
        </w:tc>
        <w:tc>
          <w:tcPr>
            <w:tcW w:type="dxa" w:w="35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Specification</w:t>
            </w:r>
          </w:p>
        </w:tc>
        <w:tc>
          <w:tcPr>
            <w:tcW w:type="dxa" w:w="386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Rationale</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Processor</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AMD Ryzen 9 7900X or Intel i9-13900</w:t>
            </w:r>
          </w:p>
        </w:tc>
        <w:tc>
          <w:tcPr>
            <w:tcW w:type="dxa" w:w="3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Multi-core performance for parallel AI workloads</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Memory</w:t>
            </w:r>
          </w:p>
        </w:tc>
        <w:tc>
          <w:tcPr>
            <w:tcW w:type="dxa" w:w="3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64 GB DDR5</w:t>
            </w:r>
          </w:p>
        </w:tc>
        <w:tc>
          <w:tcPr>
            <w:tcW w:type="dxa" w:w="38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Local language models require substantial RAM</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Graphics Card</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NVIDIA RTX 4080 or 4090</w:t>
            </w:r>
          </w:p>
        </w:tc>
        <w:tc>
          <w:tcPr>
            <w:tcW w:type="dxa" w:w="3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CUDA capability for AI inference and training</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Primary Storage</w:t>
            </w:r>
          </w:p>
        </w:tc>
        <w:tc>
          <w:tcPr>
            <w:tcW w:type="dxa" w:w="3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2 TB NVMe SSD</w:t>
            </w:r>
          </w:p>
        </w:tc>
        <w:tc>
          <w:tcPr>
            <w:tcW w:type="dxa" w:w="38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Fast storage for models and development work</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Secondary Storage</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2 TB HDD</w:t>
            </w:r>
          </w:p>
        </w:tc>
        <w:tc>
          <w:tcPr>
            <w:tcW w:type="dxa" w:w="3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Bulk storage for model archives and datasets</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Displays</w:t>
            </w:r>
          </w:p>
        </w:tc>
        <w:tc>
          <w:tcPr>
            <w:tcW w:type="dxa" w:w="3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Dual 27-inch 2K monitors</w:t>
            </w:r>
          </w:p>
        </w:tc>
        <w:tc>
          <w:tcPr>
            <w:tcW w:type="dxa" w:w="38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Productivity essential for technical work</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Operating System</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Ubuntu 22.04 with Windows dual boot</w:t>
            </w:r>
          </w:p>
        </w:tc>
        <w:tc>
          <w:tcPr>
            <w:tcW w:type="dxa" w:w="3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Linux for AI work, Windows for flexibility</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Unit Cost</w:t>
            </w:r>
          </w:p>
        </w:tc>
        <w:tc>
          <w:tcPr>
            <w:tcW w:type="dxa" w:w="3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$1,800–2,500 each</w:t>
            </w:r>
          </w:p>
        </w:tc>
        <w:tc>
          <w:tcPr>
            <w:tcW w:type="dxa" w:w="38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Two units required</w:t>
            </w:r>
          </w:p>
        </w:tc>
      </w:tr>
    </w:tbl>
    <w:p>
      <w:pPr>
        <w:pStyle w:val="Heading3"/>
        <w:spacing w:after="120" w:before="200"/>
      </w:pPr>
      <w:r>
        <w:rPr>
          <w:rFonts w:ascii="Calibri" w:cs="Calibri" w:eastAsia="Calibri" w:hAnsi="Calibri"/>
          <w:b/>
          <w:bCs/>
          <w:color w:val="1F4E79"/>
          <w:sz w:val="24"/>
          <w:szCs w:val="24"/>
        </w:rPr>
        <w:t xml:space="preserve">Mid-High Workstation (Full-Stack Developer)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Component</w:t>
            </w:r>
          </w:p>
        </w:tc>
        <w:tc>
          <w:tcPr>
            <w:tcW w:type="dxa" w:w="636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Specification</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Processor</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AMD Ryzen 7 7700 or Intel i7-13700</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Memory</w:t>
            </w:r>
          </w:p>
        </w:tc>
        <w:tc>
          <w:tcPr>
            <w:tcW w:type="dxa" w:w="6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32 GB DDR5</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Graphics Card</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NVIDIA RTX 4060 Ti</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Storage</w:t>
            </w:r>
          </w:p>
        </w:tc>
        <w:tc>
          <w:tcPr>
            <w:tcW w:type="dxa" w:w="6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1 TB NVMe SSD</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Displays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Dual 27-inch 2K monitors</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Unit Cost</w:t>
            </w:r>
          </w:p>
        </w:tc>
        <w:tc>
          <w:tcPr>
            <w:tcW w:type="dxa" w:w="6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$1,200–1,600</w:t>
            </w:r>
          </w:p>
        </w:tc>
      </w:tr>
    </w:tbl>
    <w:p>
      <w:pPr>
        <w:pStyle w:val="Heading3"/>
        <w:spacing w:after="120" w:before="200"/>
      </w:pPr>
      <w:r>
        <w:rPr>
          <w:rFonts w:ascii="Calibri" w:cs="Calibri" w:eastAsia="Calibri" w:hAnsi="Calibri"/>
          <w:b/>
          <w:bCs/>
          <w:color w:val="1F4E79"/>
          <w:sz w:val="24"/>
          <w:szCs w:val="24"/>
        </w:rPr>
        <w:t xml:space="preserve">Designer Workstation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Component</w:t>
            </w:r>
          </w:p>
        </w:tc>
        <w:tc>
          <w:tcPr>
            <w:tcW w:type="dxa" w:w="636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Specification</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Processor</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AMD Ryzen 7 or Intel i7</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Memory</w:t>
            </w:r>
          </w:p>
        </w:tc>
        <w:tc>
          <w:tcPr>
            <w:tcW w:type="dxa" w:w="6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32 GB</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Graphics Card</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NVIDIA RTX 4060</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Storage</w:t>
            </w:r>
          </w:p>
        </w:tc>
        <w:tc>
          <w:tcPr>
            <w:tcW w:type="dxa" w:w="6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1 TB NVMe SSD</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Display</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27-inch IPS panel with accurate color reproduction</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Unit Cost</w:t>
            </w:r>
          </w:p>
        </w:tc>
        <w:tc>
          <w:tcPr>
            <w:tcW w:type="dxa" w:w="6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$1,100–1,500</w:t>
            </w:r>
          </w:p>
        </w:tc>
      </w:tr>
    </w:tbl>
    <w:p>
      <w:pPr>
        <w:pStyle w:val="Heading3"/>
        <w:spacing w:after="120" w:before="200"/>
      </w:pPr>
      <w:r>
        <w:rPr>
          <w:rFonts w:ascii="Calibri" w:cs="Calibri" w:eastAsia="Calibri" w:hAnsi="Calibri"/>
          <w:b/>
          <w:bCs/>
          <w:color w:val="1F4E79"/>
          <w:sz w:val="24"/>
          <w:szCs w:val="24"/>
        </w:rPr>
        <w:t xml:space="preserve">Sales Workstation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Component</w:t>
            </w:r>
          </w:p>
        </w:tc>
        <w:tc>
          <w:tcPr>
            <w:tcW w:type="dxa" w:w="636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Specification</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Processor</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AMD Ryzen 5 or Intel i5</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Memory</w:t>
            </w:r>
          </w:p>
        </w:tc>
        <w:tc>
          <w:tcPr>
            <w:tcW w:type="dxa" w:w="6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16 GB</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Graphics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Integrated graphics sufficient</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Storage</w:t>
            </w:r>
          </w:p>
        </w:tc>
        <w:tc>
          <w:tcPr>
            <w:tcW w:type="dxa" w:w="6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512 GB SSD</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Display</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Single 24-inch FHD monitor</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Unit Cost</w:t>
            </w:r>
          </w:p>
        </w:tc>
        <w:tc>
          <w:tcPr>
            <w:tcW w:type="dxa" w:w="6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$600–900</w:t>
            </w:r>
          </w:p>
        </w:tc>
      </w:tr>
    </w:tbl>
    <w:p>
      <w:pPr>
        <w:pStyle w:val="Heading2"/>
        <w:spacing w:after="160" w:before="280"/>
      </w:pPr>
      <w:r>
        <w:rPr>
          <w:rFonts w:ascii="Calibri" w:cs="Calibri" w:eastAsia="Calibri" w:hAnsi="Calibri"/>
          <w:b/>
          <w:bCs/>
          <w:color w:val="2E75B6"/>
          <w:sz w:val="28"/>
          <w:szCs w:val="28"/>
        </w:rPr>
        <w:t xml:space="preserve">5.3 Shared Infrastructure</w:t>
      </w:r>
    </w:p>
    <w:p>
      <w:pPr>
        <w:spacing w:after="160" w:line="300"/>
        <w:jc w:val="both"/>
      </w:pPr>
      <w:r>
        <w:rPr>
          <w:rFonts w:ascii="Calibri" w:cs="Calibri" w:eastAsia="Calibri" w:hAnsi="Calibri"/>
          <w:sz w:val="22"/>
          <w:szCs w:val="22"/>
        </w:rPr>
        <w:t xml:space="preserve">The network-attached storage device serves as the team’s shared storage foundation, hosting the library of AI models, client project files, documentation, and daily backups. A Synology DS923+ or equivalent with four four-terabyte drives configured in a redundant array provides approximately eight to twelve terabytes of usable storage with protection against single-drive failure. Total investment for the NAS and drives is approximately nine hundred to twelve hundred dollars.</w:t>
      </w:r>
    </w:p>
    <w:p>
      <w:pPr>
        <w:spacing w:after="160" w:line="300"/>
        <w:jc w:val="both"/>
      </w:pPr>
      <w:r>
        <w:rPr>
          <w:rFonts w:ascii="Calibri" w:cs="Calibri" w:eastAsia="Calibri" w:hAnsi="Calibri"/>
          <w:sz w:val="22"/>
          <w:szCs w:val="22"/>
        </w:rPr>
        <w:t xml:space="preserve">As client project complexity grows during month three and beyond, a dedicated server becomes advisable for hosting the larger AI models that exceed individual workstation capacity. This may take the form of either an additional high-specification workstation or a purpose-built server, depending on the specific client requirements that emerge. Initial investment for this secondary infrastructure is estimated at eight hundred to fifteen hundred dollars, deferred to month three or four.</w:t>
      </w:r>
    </w:p>
    <w:p>
      <w:pPr>
        <w:pStyle w:val="Heading2"/>
        <w:spacing w:after="160" w:before="280"/>
      </w:pPr>
      <w:r>
        <w:rPr>
          <w:rFonts w:ascii="Calibri" w:cs="Calibri" w:eastAsia="Calibri" w:hAnsi="Calibri"/>
          <w:b/>
          <w:bCs/>
          <w:color w:val="2E75B6"/>
          <w:sz w:val="28"/>
          <w:szCs w:val="28"/>
        </w:rPr>
        <w:t xml:space="preserve">5.4 Power Infrastructure</w:t>
      </w:r>
    </w:p>
    <w:p>
      <w:pPr>
        <w:spacing w:after="160" w:line="300"/>
        <w:jc w:val="both"/>
      </w:pPr>
      <w:r>
        <w:rPr>
          <w:rFonts w:ascii="Calibri" w:cs="Calibri" w:eastAsia="Calibri" w:hAnsi="Calibri"/>
          <w:sz w:val="22"/>
          <w:szCs w:val="22"/>
        </w:rPr>
        <w:t xml:space="preserve">Electricity supply in Iraq involves daily outages of one to three hours, which represents a serious operational risk for AI workloads that cannot gracefully interrupt and for hardware that can be damaged by unprotected power disruption. The power infrastructure addresses this risk through two complementary layers.</w:t>
      </w:r>
    </w:p>
    <w:p>
      <w:pPr>
        <w:spacing w:after="160" w:line="300"/>
        <w:jc w:val="both"/>
      </w:pPr>
      <w:r>
        <w:rPr>
          <w:rFonts w:ascii="Calibri" w:cs="Calibri" w:eastAsia="Calibri" w:hAnsi="Calibri"/>
          <w:sz w:val="22"/>
          <w:szCs w:val="22"/>
        </w:rPr>
        <w:t xml:space="preserve">The first layer consists of uninterruptible power supplies installed at every workstation, providing both voltage stabilization during normal operation and bridge power during short outages. The two high-performance workstations require two-thousand-volt-ampere units rated for twelve-hundred-watt continuous load, priced at two hundred to three hundred dollars each. The two mid-range workstations require fifteen-hundred-volt-ampere units at one hundred fifty to two hundred dollars each. The Sales workstation and networking equipment can share a single thousand-volt-ampere unit at one hundred to one hundred fifty dollars. Total UPS investment is approximately eight hundred to eleven hundred fifty dollars across five units.</w:t>
      </w:r>
    </w:p>
    <w:p>
      <w:pPr>
        <w:spacing w:after="160" w:line="300"/>
        <w:jc w:val="both"/>
      </w:pPr>
      <w:r>
        <w:rPr>
          <w:rFonts w:ascii="Calibri" w:cs="Calibri" w:eastAsia="Calibri" w:hAnsi="Calibri"/>
          <w:sz w:val="22"/>
          <w:szCs w:val="22"/>
        </w:rPr>
        <w:t xml:space="preserve">The second layer addresses extended outages beyond what UPS batteries can sustain. A solar inverter system with battery storage represents the preferred long-term solution, with initial investment of fifteen hundred to three thousand dollars depending on capacity, payback within twelve to eighteen months through reduced dependence on grid power and fuel costs, and the added benefit of silent, clean operation. A diesel generator of three to five kilovolt-amperes capacity at eight hundred to fifteen hundred dollars is a lower-cost alternative but introduces noise, fuel logistics, and maintenance overhead. The recommendation is the solar inverter for its long-term economic and operational advantages, with a small generator held in reserve if extended outages exceed the inverter’s battery capacity.</w:t>
      </w:r>
    </w:p>
    <w:p>
      <w:pPr>
        <w:pStyle w:val="Heading2"/>
        <w:spacing w:after="160" w:before="280"/>
      </w:pPr>
      <w:r>
        <w:rPr>
          <w:rFonts w:ascii="Calibri" w:cs="Calibri" w:eastAsia="Calibri" w:hAnsi="Calibri"/>
          <w:b/>
          <w:bCs/>
          <w:color w:val="2E75B6"/>
          <w:sz w:val="28"/>
          <w:szCs w:val="28"/>
        </w:rPr>
        <w:t xml:space="preserve">5.5 Network Architecture</w:t>
      </w:r>
    </w:p>
    <w:p>
      <w:pPr>
        <w:spacing w:after="160" w:line="300"/>
        <w:jc w:val="both"/>
      </w:pPr>
      <w:r>
        <w:rPr>
          <w:rFonts w:ascii="Calibri" w:cs="Calibri" w:eastAsia="Calibri" w:hAnsi="Calibri"/>
          <w:sz w:val="22"/>
          <w:szCs w:val="22"/>
        </w:rPr>
        <w:t xml:space="preserve">The fifty-megabit-per-second fiber connection already available at the site provides more than sufficient bandwidth for the team’s needs, and no upgrade is required. What the network requires is internal reliability, security, and backup. The main router should be a Wi-Fi 6 model with strong coverage and security features, such as the TP-Link Archer AX73, at one hundred to one hundred fifty dollars. An eight-port unmanaged gigabit switch at thirty to fifty dollars handles wired connections to all workstations. Every workstation runs on Cat 6 ethernet rather than wireless, because wireless reliability is insufficient for serious AI work and live client support calls. A backup 4G router at eighty to one hundred twenty dollars provides internet continuity during the occasional fiber disruption.</w:t>
      </w:r>
    </w:p>
    <w:p>
      <w:pPr>
        <w:spacing w:after="160" w:line="300"/>
        <w:jc w:val="both"/>
      </w:pPr>
      <w:r>
        <w:rPr>
          <w:rFonts w:ascii="Calibri" w:cs="Calibri" w:eastAsia="Calibri" w:hAnsi="Calibri"/>
          <w:sz w:val="22"/>
          <w:szCs w:val="22"/>
        </w:rPr>
        <w:t xml:space="preserve">Network security is handled through a combination of strong router configuration, segregated Wi-Fi for client visitors when required, and the architectural choice to keep sensitive client data off the internet entirely by running AI workloads locally. A basic firewall configuration blocks unauthorized inbound connections, and remote access to team resources when required is provided through a VPN rather than exposed services.</w:t>
      </w:r>
    </w:p>
    <w:p>
      <w:pPr>
        <w:pStyle w:val="Heading2"/>
        <w:spacing w:after="160" w:before="280"/>
      </w:pPr>
      <w:r>
        <w:rPr>
          <w:rFonts w:ascii="Calibri" w:cs="Calibri" w:eastAsia="Calibri" w:hAnsi="Calibri"/>
          <w:b/>
          <w:bCs/>
          <w:color w:val="2E75B6"/>
          <w:sz w:val="28"/>
          <w:szCs w:val="28"/>
        </w:rPr>
        <w:t xml:space="preserve">5.6 Furniture and Environment</w:t>
      </w:r>
    </w:p>
    <w:p>
      <w:pPr>
        <w:spacing w:after="160" w:line="300"/>
        <w:jc w:val="both"/>
      </w:pPr>
      <w:r>
        <w:rPr>
          <w:rFonts w:ascii="Calibri" w:cs="Calibri" w:eastAsia="Calibri" w:hAnsi="Calibri"/>
          <w:sz w:val="22"/>
          <w:szCs w:val="22"/>
        </w:rPr>
        <w:t xml:space="preserve">Professional office furniture is a credibility investment rather than a luxury. When clients visit, the visual quality of the workspace signals the seriousness of the business, and the team’s own daily performance is affected by whether their physical environment supports sustained focus. Five large desks, preferably L-shaped, at one hundred to one hundred fifty dollars each, provide sufficient surface area for dual monitors and working materials. Five ergonomic chairs at eighty to one hundred fifty dollars each prevent the back and neck strain that ten-hour days on cheap chairs inevitably produce. A meeting table with two or three chairs at one hundred fifty to two hundred fifty dollars handles client visits. A large whiteboard at fifty to eighty dollars serves as the shared planning surface. Cable management trays at ten dollars each prevent the visual chaos that undermines professionalism. Some shelving at fifty to one hundred dollars accommodates physical reference materials, equipment, and supplies.</w:t>
      </w:r>
    </w:p>
    <w:p>
      <w:pPr>
        <w:spacing w:after="160" w:line="300"/>
        <w:jc w:val="both"/>
      </w:pPr>
      <w:r>
        <w:rPr>
          <w:rFonts w:ascii="Calibri" w:cs="Calibri" w:eastAsia="Calibri" w:hAnsi="Calibri"/>
          <w:sz w:val="22"/>
          <w:szCs w:val="22"/>
        </w:rPr>
        <w:t xml:space="preserve">Climate control in Iraq is not optional. Summer temperatures routinely exceed forty-five degrees Celsius, and sustained heat both reduces human productivity dramatically and accelerates hardware failure, particularly for graphics cards under AI workload. A quality split-unit air conditioner sized appropriately for the room, at four hundred to six hundred dollars, is essential operational infrastructure. Good lighting, combining overhead illumination with LED strip accents to reduce eye strain during long working hours, adds one hundred to one hundred fifty dollars.</w:t>
      </w:r>
    </w:p>
    <w:p>
      <w:pPr>
        <w:pStyle w:val="Heading2"/>
        <w:spacing w:after="160" w:before="280"/>
      </w:pPr>
      <w:r>
        <w:rPr>
          <w:rFonts w:ascii="Calibri" w:cs="Calibri" w:eastAsia="Calibri" w:hAnsi="Calibri"/>
          <w:b/>
          <w:bCs/>
          <w:color w:val="2E75B6"/>
          <w:sz w:val="28"/>
          <w:szCs w:val="28"/>
        </w:rPr>
        <w:t xml:space="preserve">5.7 Total Equipment Investment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rPr>
          <w:tblHeader/>
        </w:trPr>
        <w:tc>
          <w:tcPr>
            <w:tcW w:type="dxa" w:w="40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Category</w:t>
            </w:r>
          </w:p>
        </w:tc>
        <w:tc>
          <w:tcPr>
            <w:tcW w:type="dxa" w:w="268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Low Estimate (USD)</w:t>
            </w:r>
          </w:p>
        </w:tc>
        <w:tc>
          <w:tcPr>
            <w:tcW w:type="dxa" w:w="268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High Estimate (USD)</w:t>
            </w:r>
          </w:p>
        </w:tc>
      </w:tr>
      <w:tr>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Two high-performance workstations</w:t>
            </w:r>
          </w:p>
        </w:tc>
        <w:tc>
          <w:tcPr>
            <w:tcW w:type="dxa" w:w="26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$3,600</w:t>
            </w:r>
          </w:p>
        </w:tc>
        <w:tc>
          <w:tcPr>
            <w:tcW w:type="dxa" w:w="26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$5,000</w:t>
            </w:r>
          </w:p>
        </w:tc>
      </w:tr>
      <w:tr>
        <w:tc>
          <w:tcPr>
            <w:tcW w:type="dxa" w:w="4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Mid-high workstation (Developer)</w:t>
            </w:r>
          </w:p>
        </w:tc>
        <w:tc>
          <w:tcPr>
            <w:tcW w:type="dxa" w:w="2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$1,200</w:t>
            </w:r>
          </w:p>
        </w:tc>
        <w:tc>
          <w:tcPr>
            <w:tcW w:type="dxa" w:w="2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$1,600</w:t>
            </w:r>
          </w:p>
        </w:tc>
      </w:tr>
      <w:tr>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Designer workstation</w:t>
            </w:r>
          </w:p>
        </w:tc>
        <w:tc>
          <w:tcPr>
            <w:tcW w:type="dxa" w:w="26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$1,100</w:t>
            </w:r>
          </w:p>
        </w:tc>
        <w:tc>
          <w:tcPr>
            <w:tcW w:type="dxa" w:w="26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$1,500</w:t>
            </w:r>
          </w:p>
        </w:tc>
      </w:tr>
      <w:tr>
        <w:tc>
          <w:tcPr>
            <w:tcW w:type="dxa" w:w="4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Sales workstation</w:t>
            </w:r>
          </w:p>
        </w:tc>
        <w:tc>
          <w:tcPr>
            <w:tcW w:type="dxa" w:w="2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$600</w:t>
            </w:r>
          </w:p>
        </w:tc>
        <w:tc>
          <w:tcPr>
            <w:tcW w:type="dxa" w:w="2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$900</w:t>
            </w:r>
          </w:p>
        </w:tc>
      </w:tr>
      <w:tr>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NAS with storage drives</w:t>
            </w:r>
          </w:p>
        </w:tc>
        <w:tc>
          <w:tcPr>
            <w:tcW w:type="dxa" w:w="26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$900</w:t>
            </w:r>
          </w:p>
        </w:tc>
        <w:tc>
          <w:tcPr>
            <w:tcW w:type="dxa" w:w="26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$1,200</w:t>
            </w:r>
          </w:p>
        </w:tc>
      </w:tr>
      <w:tr>
        <w:tc>
          <w:tcPr>
            <w:tcW w:type="dxa" w:w="4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UPS units (5)</w:t>
            </w:r>
          </w:p>
        </w:tc>
        <w:tc>
          <w:tcPr>
            <w:tcW w:type="dxa" w:w="2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$800</w:t>
            </w:r>
          </w:p>
        </w:tc>
        <w:tc>
          <w:tcPr>
            <w:tcW w:type="dxa" w:w="2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$1,150</w:t>
            </w:r>
          </w:p>
        </w:tc>
      </w:tr>
      <w:tr>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Solar inverter system</w:t>
            </w:r>
          </w:p>
        </w:tc>
        <w:tc>
          <w:tcPr>
            <w:tcW w:type="dxa" w:w="26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$1,500</w:t>
            </w:r>
          </w:p>
        </w:tc>
        <w:tc>
          <w:tcPr>
            <w:tcW w:type="dxa" w:w="26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$3,000</w:t>
            </w:r>
          </w:p>
        </w:tc>
      </w:tr>
      <w:tr>
        <w:tc>
          <w:tcPr>
            <w:tcW w:type="dxa" w:w="4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Networking equipment</w:t>
            </w:r>
          </w:p>
        </w:tc>
        <w:tc>
          <w:tcPr>
            <w:tcW w:type="dxa" w:w="2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$240</w:t>
            </w:r>
          </w:p>
        </w:tc>
        <w:tc>
          <w:tcPr>
            <w:tcW w:type="dxa" w:w="2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$370</w:t>
            </w:r>
          </w:p>
        </w:tc>
      </w:tr>
      <w:tr>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Furniture, AC, and lighting</w:t>
            </w:r>
          </w:p>
        </w:tc>
        <w:tc>
          <w:tcPr>
            <w:tcW w:type="dxa" w:w="26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$1,700</w:t>
            </w:r>
          </w:p>
        </w:tc>
        <w:tc>
          <w:tcPr>
            <w:tcW w:type="dxa" w:w="26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$2,800</w:t>
            </w:r>
          </w:p>
        </w:tc>
      </w:tr>
      <w:tr>
        <w:tc>
          <w:tcPr>
            <w:tcW w:type="dxa" w:w="4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Total Equipment Investment</w:t>
            </w:r>
          </w:p>
        </w:tc>
        <w:tc>
          <w:tcPr>
            <w:tcW w:type="dxa" w:w="2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$11,640</w:t>
            </w:r>
          </w:p>
        </w:tc>
        <w:tc>
          <w:tcPr>
            <w:tcW w:type="dxa" w:w="2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$17,520</w:t>
            </w:r>
          </w:p>
        </w:tc>
      </w:tr>
    </w:tbl>
    <w:p>
      <w:pPr>
        <w:spacing w:after="160" w:line="300"/>
        <w:jc w:val="both"/>
      </w:pPr>
      <w:r>
        <w:rPr>
          <w:rFonts w:ascii="Calibri" w:cs="Calibri" w:eastAsia="Calibri" w:hAnsi="Calibri"/>
          <w:sz w:val="22"/>
          <w:szCs w:val="22"/>
        </w:rPr>
        <w:t xml:space="preserve">The realistic budget target for equipment is thirteen to fifteen thousand dollars, positioned between the low and high estimates. Phase one equipment, acquired before the team arrives, accounts for approximately seventy-five hundred to eighty-five hundred dollars. Phase two equipment, including the solar inverter and dedicated server capacity, is acquired during months two and three as cash flow confirms the business trajectory.</w:t>
      </w:r>
    </w:p>
    <w:p>
      <w:pPr>
        <w:pStyle w:val="Heading2"/>
        <w:spacing w:after="160" w:before="280"/>
      </w:pPr>
      <w:r>
        <w:rPr>
          <w:rFonts w:ascii="Calibri" w:cs="Calibri" w:eastAsia="Calibri" w:hAnsi="Calibri"/>
          <w:b/>
          <w:bCs/>
          <w:color w:val="2E75B6"/>
          <w:sz w:val="28"/>
          <w:szCs w:val="28"/>
        </w:rPr>
        <w:t xml:space="preserve">5.8 Security Posture</w:t>
      </w:r>
    </w:p>
    <w:p>
      <w:pPr>
        <w:spacing w:after="160" w:line="300"/>
        <w:jc w:val="both"/>
      </w:pPr>
      <w:r>
        <w:rPr>
          <w:rFonts w:ascii="Calibri" w:cs="Calibri" w:eastAsia="Calibri" w:hAnsi="Calibri"/>
          <w:sz w:val="22"/>
          <w:szCs w:val="22"/>
        </w:rPr>
        <w:t xml:space="preserve">Physical security consists of a locked office separate from the main workshop, basic access control determining who has keys, and a small camera system monitoring the office itself — usefully providing both security and an opportunity to deploy the company’s own camera AI product internally as a demonstration. Client hardware brought to the office for service work is always kept under lock when not actively being worked on.</w:t>
      </w:r>
    </w:p>
    <w:p>
      <w:pPr>
        <w:spacing w:after="160" w:line="300"/>
        <w:jc w:val="both"/>
      </w:pPr>
      <w:r>
        <w:rPr>
          <w:rFonts w:ascii="Calibri" w:cs="Calibri" w:eastAsia="Calibri" w:hAnsi="Calibri"/>
          <w:sz w:val="22"/>
          <w:szCs w:val="22"/>
        </w:rPr>
        <w:t xml:space="preserve">Digital security rests on four disciplines practiced without exception. All code is stored in private GitHub repositories with daily commits, preventing loss of work to any single device failure and maintaining complete version history. Client data is stored only on the NAS or on secure workstations, never on personal laptops or external drives leaving the office. Remote access to company resources uses a VPN rather than exposed services, with strong authentication required. Weekly automated backups copy the NAS contents to an external drive stored in a separate physical location, protecting against catastrophic failure of the primary storage. These practices, uniformly followed, provide protection adequate to client trust and regulatory expectations across all sectors the company serves.</w:t>
      </w:r>
    </w:p>
    <w:p>
      <w:pPr>
        <w:pStyle w:val="Heading1"/>
        <w:pageBreakBefore/>
        <w:spacing w:after="240" w:before="400"/>
      </w:pPr>
      <w:r>
        <w:rPr>
          <w:rFonts w:ascii="Calibri" w:cs="Calibri" w:eastAsia="Calibri" w:hAnsi="Calibri"/>
          <w:b/>
          <w:bCs/>
          <w:color w:val="1F4E79"/>
          <w:sz w:val="36"/>
          <w:szCs w:val="36"/>
        </w:rPr>
        <w:t xml:space="preserve">Phase 6 — Financial Projections</w:t>
      </w:r>
    </w:p>
    <w:p>
      <w:pPr>
        <w:pBdr>
          <w:left w:val="single" w:color="2E75B6" w:sz="24" w:space="12"/>
        </w:pBdr>
        <w:spacing w:after="160" w:before="160" w:line="300"/>
        <w:ind w:left="360" w:right="360"/>
      </w:pPr>
      <w:r>
        <w:rPr>
          <w:rFonts w:ascii="Calibri" w:cs="Calibri" w:eastAsia="Calibri" w:hAnsi="Calibri"/>
          <w:i/>
          <w:iCs/>
          <w:color w:val="2E75B6"/>
          <w:sz w:val="22"/>
          <w:szCs w:val="22"/>
        </w:rPr>
        <w:t xml:space="preserve">The numbers that govern every decision: total capital required, monthly operating costs, revenue projections across three scenarios, break-even analysis, and investor return calculations.</w:t>
      </w:r>
    </w:p>
    <w:p>
      <w:pPr>
        <w:pStyle w:val="Heading2"/>
        <w:spacing w:after="160" w:before="280"/>
      </w:pPr>
      <w:r>
        <w:rPr>
          <w:rFonts w:ascii="Calibri" w:cs="Calibri" w:eastAsia="Calibri" w:hAnsi="Calibri"/>
          <w:b/>
          <w:bCs/>
          <w:color w:val="2E75B6"/>
          <w:sz w:val="28"/>
          <w:szCs w:val="28"/>
        </w:rPr>
        <w:t xml:space="preserve">6.1 Total Startup Investment</w:t>
      </w:r>
    </w:p>
    <w:p>
      <w:pPr>
        <w:spacing w:after="160" w:line="300"/>
        <w:jc w:val="both"/>
      </w:pPr>
      <w:r>
        <w:rPr>
          <w:rFonts w:ascii="Calibri" w:cs="Calibri" w:eastAsia="Calibri" w:hAnsi="Calibri"/>
          <w:sz w:val="22"/>
          <w:szCs w:val="22"/>
        </w:rPr>
        <w:t xml:space="preserve">The complete capital required to establish the company and fund its operations through the first twelve months is thirty-eight thousand five hundred United States dollars. This figure includes everything necessary to move from concept to operating business: hardware, furniture, software, salaries for the first six months, marketing, legal registration, and a prudent contingency reserve. It excludes the value of the physical space and management contribution provided by the founder, which is treated separately in the investment structure as in-kind equity participation.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360"/>
      </w:tblGrid>
      <w:tr>
        <w:trPr>
          <w:tblHeader/>
        </w:trPr>
        <w:tc>
          <w:tcPr>
            <w:tcW w:type="dxa" w:w="26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Category</w:t>
            </w:r>
          </w:p>
        </w:tc>
        <w:tc>
          <w:tcPr>
            <w:tcW w:type="dxa" w:w="44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Detail</w:t>
            </w:r>
          </w:p>
        </w:tc>
        <w:tc>
          <w:tcPr>
            <w:tcW w:type="dxa" w:w="236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Cost (USD)</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Equipment Phase 1</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Five workstations, UPS units, networking, furniture</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$6,900–8,500</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Networking</w:t>
            </w:r>
          </w:p>
        </w:tc>
        <w:tc>
          <w:tcPr>
            <w:tcW w:type="dxa" w:w="4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Router, switch, cables, 4G backup</w:t>
            </w:r>
          </w:p>
        </w:tc>
        <w:tc>
          <w:tcPr>
            <w:tcW w:type="dxa" w:w="2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$240–370</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Furniture and Climate</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Desks, chairs, meeting table, AC, lighting</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$1,700–2,800</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Storage and Server</w:t>
            </w:r>
          </w:p>
        </w:tc>
        <w:tc>
          <w:tcPr>
            <w:tcW w:type="dxa" w:w="4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NAS and drives</w:t>
            </w:r>
          </w:p>
        </w:tc>
        <w:tc>
          <w:tcPr>
            <w:tcW w:type="dxa" w:w="2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$900–1,200</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Power Backup</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Solar inverter system</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$1,500–3,000</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Software (3 months)</w:t>
            </w:r>
          </w:p>
        </w:tc>
        <w:tc>
          <w:tcPr>
            <w:tcW w:type="dxa" w:w="4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Initial subscriptions and tools</w:t>
            </w:r>
          </w:p>
        </w:tc>
        <w:tc>
          <w:tcPr>
            <w:tcW w:type="dxa" w:w="2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$450–900</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Office Setup</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Cables, accessories, paint, signage</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$300–500</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Legal and Registration</w:t>
            </w:r>
          </w:p>
        </w:tc>
        <w:tc>
          <w:tcPr>
            <w:tcW w:type="dxa" w:w="4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Company formation and contracts</w:t>
            </w:r>
          </w:p>
        </w:tc>
        <w:tc>
          <w:tcPr>
            <w:tcW w:type="dxa" w:w="2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$300–600</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Marketing Launch</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Website, social media, initial outreach</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$400–700</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Contingency Reserve (15%)</w:t>
            </w:r>
          </w:p>
        </w:tc>
        <w:tc>
          <w:tcPr>
            <w:tcW w:type="dxa" w:w="4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Unplanned expenses and adjustments</w:t>
            </w:r>
          </w:p>
        </w:tc>
        <w:tc>
          <w:tcPr>
            <w:tcW w:type="dxa" w:w="2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$2,000–2,500</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Total Startup Investment</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$14,690–21,070</w:t>
            </w:r>
          </w:p>
        </w:tc>
      </w:tr>
    </w:tbl>
    <w:p>
      <w:pPr>
        <w:spacing w:after="160" w:line="300"/>
        <w:jc w:val="both"/>
      </w:pPr>
      <w:r>
        <w:rPr>
          <w:rFonts w:ascii="Calibri" w:cs="Calibri" w:eastAsia="Calibri" w:hAnsi="Calibri"/>
          <w:sz w:val="22"/>
          <w:szCs w:val="22"/>
        </w:rPr>
        <w:t xml:space="preserve">The planning target within this range is seventeen to eighteen thousand dollars for pure startup costs, positioned between the minimum and maximum estimates to allow flexibility without overfunding items that can be acquired later. The remaining capital requirement consists of operating costs for the first six months, contingency reserves, and buffers against slower-than-expected revenue, bringing the total capital target to thirty-eight thousand five hundred dollars.</w:t>
      </w:r>
    </w:p>
    <w:p>
      <w:pPr>
        <w:pStyle w:val="Heading2"/>
        <w:spacing w:after="160" w:before="280"/>
      </w:pPr>
      <w:r>
        <w:rPr>
          <w:rFonts w:ascii="Calibri" w:cs="Calibri" w:eastAsia="Calibri" w:hAnsi="Calibri"/>
          <w:b/>
          <w:bCs/>
          <w:color w:val="2E75B6"/>
          <w:sz w:val="28"/>
          <w:szCs w:val="28"/>
        </w:rPr>
        <w:t xml:space="preserve">6.2 Monthly Operating Costs</w:t>
      </w:r>
    </w:p>
    <w:p>
      <w:pPr>
        <w:spacing w:after="160" w:line="300"/>
        <w:jc w:val="both"/>
      </w:pPr>
      <w:r>
        <w:rPr>
          <w:rFonts w:ascii="Calibri" w:cs="Calibri" w:eastAsia="Calibri" w:hAnsi="Calibri"/>
          <w:sz w:val="22"/>
          <w:szCs w:val="22"/>
        </w:rPr>
        <w:t xml:space="preserve">Fixed monthly operating costs are designed to be as lean as possible during the fragile early months, with variable costs expanding only as revenue supports them. The combined monthly burn rate of three thousand dollars is materially lower than typical operating costs for a five-person technology company anywhere in the world, and this low burn is one of the plan’s most important investor-facing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rPr>
          <w:tblHeader/>
        </w:trPr>
        <w:tc>
          <w:tcPr>
            <w:tcW w:type="dxa" w:w="55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Line Item</w:t>
            </w:r>
          </w:p>
        </w:tc>
        <w:tc>
          <w:tcPr>
            <w:tcW w:type="dxa" w:w="386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Monthly Cost (USD)</w:t>
            </w:r>
          </w:p>
        </w:tc>
      </w:tr>
      <w:tr>
        <w:tc>
          <w:tcPr>
            <w:tcW w:type="dxa" w:w="5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Tech Lead salary</w:t>
            </w:r>
          </w:p>
        </w:tc>
        <w:tc>
          <w:tcPr>
            <w:tcW w:type="dxa" w:w="3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$700</w:t>
            </w:r>
          </w:p>
        </w:tc>
      </w:tr>
      <w:tr>
        <w:tc>
          <w:tcPr>
            <w:tcW w:type="dxa" w:w="5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AI Engineer salary</w:t>
            </w:r>
          </w:p>
        </w:tc>
        <w:tc>
          <w:tcPr>
            <w:tcW w:type="dxa" w:w="38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$500</w:t>
            </w:r>
          </w:p>
        </w:tc>
      </w:tr>
      <w:tr>
        <w:tc>
          <w:tcPr>
            <w:tcW w:type="dxa" w:w="5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Full-Stack Developer salary</w:t>
            </w:r>
          </w:p>
        </w:tc>
        <w:tc>
          <w:tcPr>
            <w:tcW w:type="dxa" w:w="3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$450</w:t>
            </w:r>
          </w:p>
        </w:tc>
      </w:tr>
      <w:tr>
        <w:tc>
          <w:tcPr>
            <w:tcW w:type="dxa" w:w="5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Designer salary</w:t>
            </w:r>
          </w:p>
        </w:tc>
        <w:tc>
          <w:tcPr>
            <w:tcW w:type="dxa" w:w="38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$350</w:t>
            </w:r>
          </w:p>
        </w:tc>
      </w:tr>
      <w:tr>
        <w:tc>
          <w:tcPr>
            <w:tcW w:type="dxa" w:w="5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Sales Representative base salary</w:t>
            </w:r>
          </w:p>
        </w:tc>
        <w:tc>
          <w:tcPr>
            <w:tcW w:type="dxa" w:w="3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$300</w:t>
            </w:r>
          </w:p>
        </w:tc>
      </w:tr>
      <w:tr>
        <w:tc>
          <w:tcPr>
            <w:tcW w:type="dxa" w:w="5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Subtotal — Salaries</w:t>
            </w:r>
          </w:p>
        </w:tc>
        <w:tc>
          <w:tcPr>
            <w:tcW w:type="dxa" w:w="38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$2,300</w:t>
            </w:r>
          </w:p>
        </w:tc>
      </w:tr>
      <w:tr>
        <w:tc>
          <w:tcPr>
            <w:tcW w:type="dxa" w:w="5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Software subscriptions</w:t>
            </w:r>
          </w:p>
        </w:tc>
        <w:tc>
          <w:tcPr>
            <w:tcW w:type="dxa" w:w="3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$200</w:t>
            </w:r>
          </w:p>
        </w:tc>
      </w:tr>
      <w:tr>
        <w:tc>
          <w:tcPr>
            <w:tcW w:type="dxa" w:w="5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Internet (fiber plus 4G backup)</w:t>
            </w:r>
          </w:p>
        </w:tc>
        <w:tc>
          <w:tcPr>
            <w:tcW w:type="dxa" w:w="38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$80</w:t>
            </w:r>
          </w:p>
        </w:tc>
      </w:tr>
      <w:tr>
        <w:tc>
          <w:tcPr>
            <w:tcW w:type="dxa" w:w="5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Electricity and utilities</w:t>
            </w:r>
          </w:p>
        </w:tc>
        <w:tc>
          <w:tcPr>
            <w:tcW w:type="dxa" w:w="3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$100</w:t>
            </w:r>
          </w:p>
        </w:tc>
      </w:tr>
      <w:tr>
        <w:tc>
          <w:tcPr>
            <w:tcW w:type="dxa" w:w="5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Marketing and social media</w:t>
            </w:r>
          </w:p>
        </w:tc>
        <w:tc>
          <w:tcPr>
            <w:tcW w:type="dxa" w:w="38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$150</w:t>
            </w:r>
          </w:p>
        </w:tc>
      </w:tr>
      <w:tr>
        <w:tc>
          <w:tcPr>
            <w:tcW w:type="dxa" w:w="5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Miscellaneous and reserve</w:t>
            </w:r>
          </w:p>
        </w:tc>
        <w:tc>
          <w:tcPr>
            <w:tcW w:type="dxa" w:w="3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$170</w:t>
            </w:r>
          </w:p>
        </w:tc>
      </w:tr>
      <w:tr>
        <w:tc>
          <w:tcPr>
            <w:tcW w:type="dxa" w:w="5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Total Monthly Fixed Costs</w:t>
            </w:r>
          </w:p>
        </w:tc>
        <w:tc>
          <w:tcPr>
            <w:tcW w:type="dxa" w:w="38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$3,000</w:t>
            </w:r>
          </w:p>
        </w:tc>
      </w:tr>
    </w:tbl>
    <w:p>
      <w:pPr>
        <w:spacing w:after="160" w:line="300"/>
        <w:jc w:val="both"/>
      </w:pPr>
      <w:r>
        <w:rPr>
          <w:rFonts w:ascii="Calibri" w:cs="Calibri" w:eastAsia="Calibri" w:hAnsi="Calibri"/>
          <w:sz w:val="22"/>
          <w:szCs w:val="22"/>
        </w:rPr>
        <w:t xml:space="preserve">The founder’s in-kind contribution — office space rent that would otherwise cost three to five hundred dollars monthly, internet and utilities that would add approximately one hundred fifty to two hundred fifty dollars, and general management time that has no direct market price but is clearly substantial — reduces what the business pays in cash by approximately five to seven hundred dollars per month, or three to four thousand dollars over the first six months of operation. This contribution is the primary basis for the founder’s equity position and is recognized explicitly in the investment structure.</w:t>
      </w:r>
    </w:p>
    <w:p>
      <w:pPr>
        <w:pStyle w:val="Heading2"/>
        <w:spacing w:after="160" w:before="280"/>
      </w:pPr>
      <w:r>
        <w:rPr>
          <w:rFonts w:ascii="Calibri" w:cs="Calibri" w:eastAsia="Calibri" w:hAnsi="Calibri"/>
          <w:b/>
          <w:bCs/>
          <w:color w:val="2E75B6"/>
          <w:sz w:val="28"/>
          <w:szCs w:val="28"/>
        </w:rPr>
        <w:t xml:space="preserve">6.3 Variable Monthly Costs</w:t>
      </w:r>
    </w:p>
    <w:p>
      <w:pPr>
        <w:spacing w:after="160" w:line="300"/>
        <w:jc w:val="both"/>
      </w:pPr>
      <w:r>
        <w:rPr>
          <w:rFonts w:ascii="Calibri" w:cs="Calibri" w:eastAsia="Calibri" w:hAnsi="Calibri"/>
          <w:sz w:val="22"/>
          <w:szCs w:val="22"/>
        </w:rPr>
        <w:t xml:space="preserve">Variable costs scale with revenue and represent healthy expansion rather than fixed overhead. The principal categories are sales commissions paid on closed deals at five to ten percent of project value, cloud computing costs for projects that exceed local infrastructure capacity at approximately fifty to three hundred dollars per project, hardware costs for client deployments such as cameras and servers installed at client sites at two hundred to one thousand dollars per project, and performance bonuses distributed to the team upon successful delivery milestones at fifty to two hundred dollars per person per project.</w:t>
      </w:r>
    </w:p>
    <w:p>
      <w:pPr>
        <w:pStyle w:val="Heading2"/>
        <w:spacing w:after="160" w:before="280"/>
      </w:pPr>
      <w:r>
        <w:rPr>
          <w:rFonts w:ascii="Calibri" w:cs="Calibri" w:eastAsia="Calibri" w:hAnsi="Calibri"/>
          <w:b/>
          <w:bCs/>
          <w:color w:val="2E75B6"/>
          <w:sz w:val="28"/>
          <w:szCs w:val="28"/>
        </w:rPr>
        <w:t xml:space="preserve">6.4 Six-Month Burn Projection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360"/>
        <w:gridCol w:w="1400"/>
        <w:gridCol w:w="1700"/>
        <w:gridCol w:w="1800"/>
        <w:gridCol w:w="1800"/>
      </w:tblGrid>
      <w:tr>
        <w:trPr>
          <w:tblHeader/>
        </w:trPr>
        <w:tc>
          <w:tcPr>
            <w:tcW w:type="dxa" w:w="13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Month</w:t>
            </w:r>
          </w:p>
        </w:tc>
        <w:tc>
          <w:tcPr>
            <w:tcW w:type="dxa" w:w="136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Fixed Costs</w:t>
            </w:r>
          </w:p>
        </w:tc>
        <w:tc>
          <w:tcPr>
            <w:tcW w:type="dxa" w:w="14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Variable Costs</w:t>
            </w:r>
          </w:p>
        </w:tc>
        <w:tc>
          <w:tcPr>
            <w:tcW w:type="dxa" w:w="17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Total Outflow</w:t>
            </w:r>
          </w:p>
        </w:tc>
        <w:tc>
          <w:tcPr>
            <w:tcW w:type="dxa" w:w="18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Expected Revenue</w:t>
            </w:r>
          </w:p>
        </w:tc>
        <w:tc>
          <w:tcPr>
            <w:tcW w:type="dxa" w:w="18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Net Monthly</w:t>
            </w:r>
          </w:p>
        </w:tc>
      </w:tr>
      <w:tr>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Month 1</w:t>
            </w:r>
          </w:p>
        </w:tc>
        <w:tc>
          <w:tcPr>
            <w:tcW w:type="dxa" w:w="1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$3,000</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$0</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$3,000</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$0</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-$3,000</w:t>
            </w:r>
          </w:p>
        </w:tc>
      </w:tr>
      <w:tr>
        <w:tc>
          <w:tcPr>
            <w:tcW w:type="dxa" w:w="13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Month 2</w:t>
            </w:r>
          </w:p>
        </w:tc>
        <w:tc>
          <w:tcPr>
            <w:tcW w:type="dxa" w:w="1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$3,000</w:t>
            </w:r>
          </w:p>
        </w:tc>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$200</w:t>
            </w:r>
          </w:p>
        </w:tc>
        <w:tc>
          <w:tcPr>
            <w:tcW w:type="dxa" w:w="1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$3,200</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$0</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-$3,200</w:t>
            </w:r>
          </w:p>
        </w:tc>
      </w:tr>
      <w:tr>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Month 3</w:t>
            </w:r>
          </w:p>
        </w:tc>
        <w:tc>
          <w:tcPr>
            <w:tcW w:type="dxa" w:w="1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$3,000</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$300</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$3,300</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$1,000</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-$2,300</w:t>
            </w:r>
          </w:p>
        </w:tc>
      </w:tr>
      <w:tr>
        <w:tc>
          <w:tcPr>
            <w:tcW w:type="dxa" w:w="13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Month 4</w:t>
            </w:r>
          </w:p>
        </w:tc>
        <w:tc>
          <w:tcPr>
            <w:tcW w:type="dxa" w:w="1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$3,000</w:t>
            </w:r>
          </w:p>
        </w:tc>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$500</w:t>
            </w:r>
          </w:p>
        </w:tc>
        <w:tc>
          <w:tcPr>
            <w:tcW w:type="dxa" w:w="1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$3,500</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$3,000</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-$500</w:t>
            </w:r>
          </w:p>
        </w:tc>
      </w:tr>
      <w:tr>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Month 5</w:t>
            </w:r>
          </w:p>
        </w:tc>
        <w:tc>
          <w:tcPr>
            <w:tcW w:type="dxa" w:w="1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$3,000</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$700</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$3,700</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$5,000</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+$1,300</w:t>
            </w:r>
          </w:p>
        </w:tc>
      </w:tr>
      <w:tr>
        <w:tc>
          <w:tcPr>
            <w:tcW w:type="dxa" w:w="13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Month 6</w:t>
            </w:r>
          </w:p>
        </w:tc>
        <w:tc>
          <w:tcPr>
            <w:tcW w:type="dxa" w:w="1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$3,000</w:t>
            </w:r>
          </w:p>
        </w:tc>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$800</w:t>
            </w:r>
          </w:p>
        </w:tc>
        <w:tc>
          <w:tcPr>
            <w:tcW w:type="dxa" w:w="1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$3,800</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$6,000</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+$2,200</w:t>
            </w:r>
          </w:p>
        </w:tc>
      </w:tr>
      <w:tr>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Six-Month Total</w:t>
            </w:r>
          </w:p>
        </w:tc>
        <w:tc>
          <w:tcPr>
            <w:tcW w:type="dxa" w:w="1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$18,000</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$2,500</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$20,500</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$15,000</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-$5,500</w:t>
            </w:r>
          </w:p>
        </w:tc>
      </w:tr>
    </w:tbl>
    <w:p>
      <w:pPr>
        <w:spacing w:after="160" w:line="300"/>
        <w:jc w:val="both"/>
      </w:pPr>
      <w:r>
        <w:rPr>
          <w:rFonts w:ascii="Calibri" w:cs="Calibri" w:eastAsia="Calibri" w:hAnsi="Calibri"/>
          <w:sz w:val="22"/>
          <w:szCs w:val="22"/>
        </w:rPr>
        <w:t xml:space="preserve">The six-month cumulative cash requirement of approximately twenty thousand five hundred dollars, combined with the seventeen thousand dollar startup investment, establishes the total capital requirement at thirty-eight thousand dollars before contingency, or thirty-eight thousand five hundred dollars including the operational reserve. At month six, the business reaches monthly profitability but has not yet recovered its startup costs, which is normal and expected for a services business at this scale.</w:t>
      </w:r>
    </w:p>
    <w:p>
      <w:pPr>
        <w:pStyle w:val="Heading2"/>
        <w:spacing w:after="160" w:before="280"/>
      </w:pPr>
      <w:r>
        <w:rPr>
          <w:rFonts w:ascii="Calibri" w:cs="Calibri" w:eastAsia="Calibri" w:hAnsi="Calibri"/>
          <w:b/>
          <w:bCs/>
          <w:color w:val="2E75B6"/>
          <w:sz w:val="28"/>
          <w:szCs w:val="28"/>
        </w:rPr>
        <w:t xml:space="preserve">6.5 Eighteen-Month Revenue Projections</w:t>
      </w:r>
    </w:p>
    <w:p>
      <w:pPr>
        <w:spacing w:after="160" w:line="300"/>
        <w:jc w:val="both"/>
      </w:pPr>
      <w:r>
        <w:rPr>
          <w:rFonts w:ascii="Calibri" w:cs="Calibri" w:eastAsia="Calibri" w:hAnsi="Calibri"/>
          <w:sz w:val="22"/>
          <w:szCs w:val="22"/>
        </w:rPr>
        <w:t xml:space="preserve">Three scenarios are modeled to capture the realistic range of outcomes. The conservative scenario assumes slower client acquisition, longer sales cycles, and no exceptional early wins. The realistic scenario assumes steady consistent growth matching the plan’s operational execution. The optimistic scenario assumes at least one major client early in the trajectory, providing acceleration that compounds through the growth path. Presenting all three scenarios to investors demonstrates analytical rigor and prepares them for the range of outcomes the business may actually produce.</w:t>
      </w:r>
    </w:p>
    <w:p>
      <w:pPr>
        <w:pStyle w:val="Heading3"/>
        <w:spacing w:after="120" w:before="200"/>
      </w:pPr>
      <w:r>
        <w:rPr>
          <w:rFonts w:ascii="Calibri" w:cs="Calibri" w:eastAsia="Calibri" w:hAnsi="Calibri"/>
          <w:b/>
          <w:bCs/>
          <w:color w:val="1F4E79"/>
          <w:sz w:val="24"/>
          <w:szCs w:val="24"/>
        </w:rPr>
        <w:t xml:space="preserve">Conservative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Month</w:t>
            </w:r>
          </w:p>
        </w:tc>
        <w:tc>
          <w:tcPr>
            <w:tcW w:type="dxa" w:w="358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Monthly Revenue</w:t>
            </w:r>
          </w:p>
        </w:tc>
        <w:tc>
          <w:tcPr>
            <w:tcW w:type="dxa" w:w="358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Cumulative Revenue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Month 3</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$800</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$800</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Month 4</w:t>
            </w:r>
          </w:p>
        </w:tc>
        <w:tc>
          <w:tcPr>
            <w:tcW w:type="dxa" w:w="35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$1,500</w:t>
            </w:r>
          </w:p>
        </w:tc>
        <w:tc>
          <w:tcPr>
            <w:tcW w:type="dxa" w:w="35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$2,300</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Month 5</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$2,500</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$4,800</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Month 6</w:t>
            </w:r>
          </w:p>
        </w:tc>
        <w:tc>
          <w:tcPr>
            <w:tcW w:type="dxa" w:w="35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$3,500</w:t>
            </w:r>
          </w:p>
        </w:tc>
        <w:tc>
          <w:tcPr>
            <w:tcW w:type="dxa" w:w="35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$8,300</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Month 9</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$5,000</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$23,300</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Month 12</w:t>
            </w:r>
          </w:p>
        </w:tc>
        <w:tc>
          <w:tcPr>
            <w:tcW w:type="dxa" w:w="35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$7,000</w:t>
            </w:r>
          </w:p>
        </w:tc>
        <w:tc>
          <w:tcPr>
            <w:tcW w:type="dxa" w:w="35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$41,300</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Month 18</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$10,000</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$95,300</w:t>
            </w:r>
          </w:p>
        </w:tc>
      </w:tr>
    </w:tbl>
    <w:p>
      <w:pPr>
        <w:pStyle w:val="Heading3"/>
        <w:spacing w:after="120" w:before="200"/>
      </w:pPr>
      <w:r>
        <w:rPr>
          <w:rFonts w:ascii="Calibri" w:cs="Calibri" w:eastAsia="Calibri" w:hAnsi="Calibri"/>
          <w:b/>
          <w:bCs/>
          <w:color w:val="1F4E79"/>
          <w:sz w:val="24"/>
          <w:szCs w:val="24"/>
        </w:rPr>
        <w:t xml:space="preserve">Realistic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Month</w:t>
            </w:r>
          </w:p>
        </w:tc>
        <w:tc>
          <w:tcPr>
            <w:tcW w:type="dxa" w:w="358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Monthly Revenue</w:t>
            </w:r>
          </w:p>
        </w:tc>
        <w:tc>
          <w:tcPr>
            <w:tcW w:type="dxa" w:w="358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Cumulative Revenue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Month 3</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$1,500</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$1,500</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Month 4</w:t>
            </w:r>
          </w:p>
        </w:tc>
        <w:tc>
          <w:tcPr>
            <w:tcW w:type="dxa" w:w="35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$3,000</w:t>
            </w:r>
          </w:p>
        </w:tc>
        <w:tc>
          <w:tcPr>
            <w:tcW w:type="dxa" w:w="35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$4,500</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Month 5</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$5,000</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$9,500</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Month 6</w:t>
            </w:r>
          </w:p>
        </w:tc>
        <w:tc>
          <w:tcPr>
            <w:tcW w:type="dxa" w:w="35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$6,500</w:t>
            </w:r>
          </w:p>
        </w:tc>
        <w:tc>
          <w:tcPr>
            <w:tcW w:type="dxa" w:w="35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$16,000</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Month 9</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$10,000</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$43,000</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Month 12</w:t>
            </w:r>
          </w:p>
        </w:tc>
        <w:tc>
          <w:tcPr>
            <w:tcW w:type="dxa" w:w="35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$15,000</w:t>
            </w:r>
          </w:p>
        </w:tc>
        <w:tc>
          <w:tcPr>
            <w:tcW w:type="dxa" w:w="35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$85,000</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Month 18</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$22,000</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$187,000</w:t>
            </w:r>
          </w:p>
        </w:tc>
      </w:tr>
    </w:tbl>
    <w:p>
      <w:pPr>
        <w:pStyle w:val="Heading3"/>
        <w:spacing w:after="120" w:before="200"/>
      </w:pPr>
      <w:r>
        <w:rPr>
          <w:rFonts w:ascii="Calibri" w:cs="Calibri" w:eastAsia="Calibri" w:hAnsi="Calibri"/>
          <w:b/>
          <w:bCs/>
          <w:color w:val="1F4E79"/>
          <w:sz w:val="24"/>
          <w:szCs w:val="24"/>
        </w:rPr>
        <w:t xml:space="preserve">Optimistic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Month</w:t>
            </w:r>
          </w:p>
        </w:tc>
        <w:tc>
          <w:tcPr>
            <w:tcW w:type="dxa" w:w="358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Monthly Revenue</w:t>
            </w:r>
          </w:p>
        </w:tc>
        <w:tc>
          <w:tcPr>
            <w:tcW w:type="dxa" w:w="358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Cumulative Revenue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Month 3</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$3,000</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$3,000</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Month 4</w:t>
            </w:r>
          </w:p>
        </w:tc>
        <w:tc>
          <w:tcPr>
            <w:tcW w:type="dxa" w:w="35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$6,000</w:t>
            </w:r>
          </w:p>
        </w:tc>
        <w:tc>
          <w:tcPr>
            <w:tcW w:type="dxa" w:w="35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$9,000</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Month 5</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$8,000</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$17,000</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Month 6</w:t>
            </w:r>
          </w:p>
        </w:tc>
        <w:tc>
          <w:tcPr>
            <w:tcW w:type="dxa" w:w="35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$10,000</w:t>
            </w:r>
          </w:p>
        </w:tc>
        <w:tc>
          <w:tcPr>
            <w:tcW w:type="dxa" w:w="35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$27,000</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Month 9</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$18,000</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$72,000</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Month 12</w:t>
            </w:r>
          </w:p>
        </w:tc>
        <w:tc>
          <w:tcPr>
            <w:tcW w:type="dxa" w:w="35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$25,000</w:t>
            </w:r>
          </w:p>
        </w:tc>
        <w:tc>
          <w:tcPr>
            <w:tcW w:type="dxa" w:w="35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$142,000</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Month 18</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$35,000</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$282,000</w:t>
            </w:r>
          </w:p>
        </w:tc>
      </w:tr>
    </w:tbl>
    <w:p>
      <w:pPr>
        <w:pStyle w:val="Heading2"/>
        <w:spacing w:after="160" w:before="280"/>
      </w:pPr>
      <w:r>
        <w:rPr>
          <w:rFonts w:ascii="Calibri" w:cs="Calibri" w:eastAsia="Calibri" w:hAnsi="Calibri"/>
          <w:b/>
          <w:bCs/>
          <w:color w:val="2E75B6"/>
          <w:sz w:val="28"/>
          <w:szCs w:val="28"/>
        </w:rPr>
        <w:t xml:space="preserve">6.6 Break-Even Analysis</w:t>
      </w:r>
    </w:p>
    <w:p>
      <w:pPr>
        <w:spacing w:after="160" w:line="300"/>
        <w:jc w:val="both"/>
      </w:pPr>
      <w:r>
        <w:rPr>
          <w:rFonts w:ascii="Calibri" w:cs="Calibri" w:eastAsia="Calibri" w:hAnsi="Calibri"/>
          <w:sz w:val="22"/>
          <w:szCs w:val="22"/>
        </w:rPr>
        <w:t xml:space="preserve">Break-even occurs when monthly revenue equals monthly total cost, with nothing remaining for profit distribution, reinvestment, or reserve building. The break-even revenue threshold is approximately three thousand dollars per month, equal to fixed operating costs, with variable costs increasing proportionally as revenue grows. Crossing the three-thousand-dollar monthly revenue threshold means the business has moved from capital consumption to self-sustaining operation, which is the most critical financial milestone of the early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Scenario</w:t>
            </w:r>
          </w:p>
        </w:tc>
        <w:tc>
          <w:tcPr>
            <w:tcW w:type="dxa" w:w="30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Monthly Break-Even</w:t>
            </w:r>
          </w:p>
        </w:tc>
        <w:tc>
          <w:tcPr>
            <w:tcW w:type="dxa" w:w="386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Month Reached</w:t>
            </w:r>
          </w:p>
        </w:tc>
      </w:tr>
      <w:t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Conservative</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$3,000/month</w:t>
            </w:r>
          </w:p>
        </w:tc>
        <w:tc>
          <w:tcPr>
            <w:tcW w:type="dxa" w:w="3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Month 7–8</w:t>
            </w:r>
          </w:p>
        </w:tc>
      </w:tr>
      <w:tr>
        <w:tc>
          <w:tcPr>
            <w:tcW w:type="dxa" w:w="2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Realistic</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$3,000/month</w:t>
            </w:r>
          </w:p>
        </w:tc>
        <w:tc>
          <w:tcPr>
            <w:tcW w:type="dxa" w:w="38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Month 5</w:t>
            </w:r>
          </w:p>
        </w:tc>
      </w:tr>
      <w:t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Optimistic</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$3,000/month</w:t>
            </w:r>
          </w:p>
        </w:tc>
        <w:tc>
          <w:tcPr>
            <w:tcW w:type="dxa" w:w="3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Month 4</w:t>
            </w:r>
          </w:p>
        </w:tc>
      </w:tr>
    </w:tbl>
    <w:p>
      <w:pPr>
        <w:spacing w:after="160" w:line="300"/>
        <w:jc w:val="both"/>
      </w:pPr>
      <w:r>
        <w:rPr>
          <w:rFonts w:ascii="Calibri" w:cs="Calibri" w:eastAsia="Calibri" w:hAnsi="Calibri"/>
          <w:sz w:val="22"/>
          <w:szCs w:val="22"/>
        </w:rPr>
        <w:t xml:space="preserve">Full investment recovery — the point at which the cumulative cash generated by the business equals the total capital invested — occurs later than break-even, because early months consume capital that must be repaid through subsequent profit before the business is truly self-funding. Recovery timing varies substantially across scenarios and represents one of the most consequential differences for investor return.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Scenario</w:t>
            </w:r>
          </w:p>
        </w:tc>
        <w:tc>
          <w:tcPr>
            <w:tcW w:type="dxa" w:w="30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Total Capital Deployed</w:t>
            </w:r>
          </w:p>
        </w:tc>
        <w:tc>
          <w:tcPr>
            <w:tcW w:type="dxa" w:w="386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Full Recovery</w:t>
            </w:r>
          </w:p>
        </w:tc>
      </w:tr>
      <w:t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Conservative</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~$38,000</w:t>
            </w:r>
          </w:p>
        </w:tc>
        <w:tc>
          <w:tcPr>
            <w:tcW w:type="dxa" w:w="3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Month 18–22</w:t>
            </w:r>
          </w:p>
        </w:tc>
      </w:tr>
      <w:tr>
        <w:tc>
          <w:tcPr>
            <w:tcW w:type="dxa" w:w="2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Realistic</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~$38,000</w:t>
            </w:r>
          </w:p>
        </w:tc>
        <w:tc>
          <w:tcPr>
            <w:tcW w:type="dxa" w:w="38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Month 14–16</w:t>
            </w:r>
          </w:p>
        </w:tc>
      </w:tr>
      <w:t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Optimistic</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~$38,000</w:t>
            </w:r>
          </w:p>
        </w:tc>
        <w:tc>
          <w:tcPr>
            <w:tcW w:type="dxa" w:w="3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Month 10–12</w:t>
            </w:r>
          </w:p>
        </w:tc>
      </w:tr>
    </w:tbl>
    <w:p>
      <w:pPr>
        <w:pStyle w:val="Heading2"/>
        <w:spacing w:after="160" w:before="280"/>
      </w:pPr>
      <w:r>
        <w:rPr>
          <w:rFonts w:ascii="Calibri" w:cs="Calibri" w:eastAsia="Calibri" w:hAnsi="Calibri"/>
          <w:b/>
          <w:bCs/>
          <w:color w:val="2E75B6"/>
          <w:sz w:val="28"/>
          <w:szCs w:val="28"/>
        </w:rPr>
        <w:t xml:space="preserve">6.7 Capital Sources and Structure</w:t>
      </w:r>
    </w:p>
    <w:p>
      <w:pPr>
        <w:spacing w:after="160" w:line="300"/>
        <w:jc w:val="both"/>
      </w:pPr>
      <w:r>
        <w:rPr>
          <w:rFonts w:ascii="Calibri" w:cs="Calibri" w:eastAsia="Calibri" w:hAnsi="Calibri"/>
          <w:sz w:val="22"/>
          <w:szCs w:val="22"/>
        </w:rPr>
        <w:t xml:space="preserve">The thirty-eight thousand five hundred dollar total capital requirement is assembled from multiple sources, each carrying a defined role within the investment structure. The founder contributes physical infrastructure, utilities, and daily management, collectively valued at approximately fifty-seven hundred dollars over the first six months as a monthly offset of seven to nine hundred dollars against costs that would otherwise be paid in cash. Two investment partners each contribute thirteen thousand dollars in cash, totaling twenty-six thousand dollars. Retained revenue from month three onward provides the remaining capital requirement through reinvestment of operational cash flow. A contingency reserve of approximately thirty-five hundred dollars, funded from the initial investment capital, provides protection against unexpected costs or revenue shortfalls.</w:t>
      </w:r>
    </w:p>
    <w:p>
      <w:pPr>
        <w:pStyle w:val="Heading2"/>
        <w:spacing w:after="160" w:before="280"/>
      </w:pPr>
      <w:r>
        <w:rPr>
          <w:rFonts w:ascii="Calibri" w:cs="Calibri" w:eastAsia="Calibri" w:hAnsi="Calibri"/>
          <w:b/>
          <w:bCs/>
          <w:color w:val="2E75B6"/>
          <w:sz w:val="28"/>
          <w:szCs w:val="28"/>
        </w:rPr>
        <w:t xml:space="preserve">6.8 Key Metrics for Investor Discussion</w:t>
      </w:r>
    </w:p>
    <w:p>
      <w:pPr>
        <w:spacing w:after="160" w:line="300"/>
        <w:jc w:val="both"/>
      </w:pPr>
      <w:r>
        <w:rPr>
          <w:rFonts w:ascii="Calibri" w:cs="Calibri" w:eastAsia="Calibri" w:hAnsi="Calibri"/>
          <w:sz w:val="22"/>
          <w:szCs w:val="22"/>
        </w:rPr>
        <w:t xml:space="preserve">Certain numbers appear repeatedly in investor conversations and must be known fluently by the General Manager. These are the metrics that anchor every discussion of the business opportunity and return potential.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Metric</w:t>
            </w:r>
          </w:p>
        </w:tc>
        <w:tc>
          <w:tcPr>
            <w:tcW w:type="dxa" w:w="486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Value</w:t>
            </w:r>
          </w:p>
        </w:tc>
      </w:tr>
      <w:tr>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Total capital required</w:t>
            </w:r>
          </w:p>
        </w:tc>
        <w:tc>
          <w:tcPr>
            <w:tcW w:type="dxa" w:w="4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$38,500</w:t>
            </w:r>
          </w:p>
        </w:tc>
      </w:tr>
      <w:tr>
        <w:tc>
          <w:tcPr>
            <w:tcW w:type="dxa" w:w="4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Monthly fixed operating cost</w:t>
            </w:r>
          </w:p>
        </w:tc>
        <w:tc>
          <w:tcPr>
            <w:tcW w:type="dxa" w:w="48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$3,000</w:t>
            </w:r>
          </w:p>
        </w:tc>
      </w:tr>
      <w:tr>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Monthly break-even revenue</w:t>
            </w:r>
          </w:p>
        </w:tc>
        <w:tc>
          <w:tcPr>
            <w:tcW w:type="dxa" w:w="4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$3,000</w:t>
            </w:r>
          </w:p>
        </w:tc>
      </w:tr>
      <w:tr>
        <w:tc>
          <w:tcPr>
            <w:tcW w:type="dxa" w:w="4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Projected monthly revenue at Month 12 (realistic)</w:t>
            </w:r>
          </w:p>
        </w:tc>
        <w:tc>
          <w:tcPr>
            <w:tcW w:type="dxa" w:w="48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$15,000</w:t>
            </w:r>
          </w:p>
        </w:tc>
      </w:tr>
      <w:tr>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Projected monthly profit at Month 12 (realistic)</w:t>
            </w:r>
          </w:p>
        </w:tc>
        <w:tc>
          <w:tcPr>
            <w:tcW w:type="dxa" w:w="4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$10,000–11,000</w:t>
            </w:r>
          </w:p>
        </w:tc>
      </w:tr>
      <w:tr>
        <w:tc>
          <w:tcPr>
            <w:tcW w:type="dxa" w:w="4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Projected investor ROI at Month 18 (realistic)</w:t>
            </w:r>
          </w:p>
        </w:tc>
        <w:tc>
          <w:tcPr>
            <w:tcW w:type="dxa" w:w="48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150–200%</w:t>
            </w:r>
          </w:p>
        </w:tc>
      </w:tr>
      <w:tr>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Payback period (realistic scenario)</w:t>
            </w:r>
          </w:p>
        </w:tc>
        <w:tc>
          <w:tcPr>
            <w:tcW w:type="dxa" w:w="4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14–18 months</w:t>
            </w:r>
          </w:p>
        </w:tc>
      </w:tr>
    </w:tbl>
    <w:p>
      <w:pPr>
        <w:pStyle w:val="Heading2"/>
        <w:spacing w:after="160" w:before="280"/>
      </w:pPr>
      <w:r>
        <w:rPr>
          <w:rFonts w:ascii="Calibri" w:cs="Calibri" w:eastAsia="Calibri" w:hAnsi="Calibri"/>
          <w:b/>
          <w:bCs/>
          <w:color w:val="2E75B6"/>
          <w:sz w:val="28"/>
          <w:szCs w:val="28"/>
        </w:rPr>
        <w:t xml:space="preserve">6.9 Risk-Adjusted Investor Appeal</w:t>
      </w:r>
    </w:p>
    <w:p>
      <w:pPr>
        <w:spacing w:after="160" w:line="300"/>
        <w:jc w:val="both"/>
      </w:pPr>
      <w:r>
        <w:rPr>
          <w:rFonts w:ascii="Calibri" w:cs="Calibri" w:eastAsia="Calibri" w:hAnsi="Calibri"/>
          <w:sz w:val="22"/>
          <w:szCs w:val="22"/>
        </w:rPr>
        <w:t xml:space="preserve">Four features of this financial structure make it unusually attractive for investors considering a technology investment in the Iraqi market. The monthly burn rate of three thousand dollars is dramatically lower than equivalent operations would cost elsewhere, which means the business has months rather than weeks to find its footing even if revenue lags the realistic scenario. The rent-free workshop space eliminates what would typically be the largest single fixed cost of the business, and this cost advantage persists indefinitely rather than being consumed in the first year. The target market is genuinely underserved, with minimal direct competition providing a window for establishing defensible position before the market becomes crowded. The revenue model combines project-based cash flow with retainer-based recurring revenue, meaning the business is never wholly dependent on either new project wins or any single client relationship.</w:t>
      </w:r>
    </w:p>
    <w:p>
      <w:pPr>
        <w:spacing w:after="160" w:line="300"/>
        <w:jc w:val="both"/>
      </w:pPr>
      <w:r>
        <w:rPr>
          <w:rFonts w:ascii="Calibri" w:cs="Calibri" w:eastAsia="Calibri" w:hAnsi="Calibri"/>
          <w:sz w:val="22"/>
          <w:szCs w:val="22"/>
        </w:rPr>
        <w:t xml:space="preserve">Taken together, these features mean that the business can survive longer than most startups if revenue is slower than projected, can recover faster than most if operations execute well, and offers investors a return profile that combines meaningful upside with structural downside protection — a combination that is rare in any market and particularly rare in emerging ones.</w:t>
      </w:r>
    </w:p>
    <w:p>
      <w:pPr>
        <w:pStyle w:val="Heading1"/>
        <w:pageBreakBefore/>
        <w:spacing w:after="240" w:before="400"/>
      </w:pPr>
      <w:r>
        <w:rPr>
          <w:rFonts w:ascii="Calibri" w:cs="Calibri" w:eastAsia="Calibri" w:hAnsi="Calibri"/>
          <w:b/>
          <w:bCs/>
          <w:color w:val="1F4E79"/>
          <w:sz w:val="36"/>
          <w:szCs w:val="36"/>
        </w:rPr>
        <w:t xml:space="preserve">Phase 7 — Investment Structure</w:t>
      </w:r>
    </w:p>
    <w:p>
      <w:pPr>
        <w:pBdr>
          <w:left w:val="single" w:color="2E75B6" w:sz="24" w:space="12"/>
        </w:pBdr>
        <w:spacing w:after="160" w:before="160" w:line="300"/>
        <w:ind w:left="360" w:right="360"/>
      </w:pPr>
      <w:r>
        <w:rPr>
          <w:rFonts w:ascii="Calibri" w:cs="Calibri" w:eastAsia="Calibri" w:hAnsi="Calibri"/>
          <w:i/>
          <w:iCs/>
          <w:color w:val="2E75B6"/>
          <w:sz w:val="22"/>
          <w:szCs w:val="22"/>
        </w:rPr>
        <w:t xml:space="preserve">The architecture of the investment deal: ownership percentages, decision-making rights, profit distribution mechanics, investor protections, and the written agreement that governs the relationship.</w:t>
      </w:r>
    </w:p>
    <w:p>
      <w:pPr>
        <w:pStyle w:val="Heading2"/>
        <w:spacing w:after="160" w:before="280"/>
      </w:pPr>
      <w:r>
        <w:rPr>
          <w:rFonts w:ascii="Calibri" w:cs="Calibri" w:eastAsia="Calibri" w:hAnsi="Calibri"/>
          <w:b/>
          <w:bCs/>
          <w:color w:val="2E75B6"/>
          <w:sz w:val="28"/>
          <w:szCs w:val="28"/>
        </w:rPr>
        <w:t xml:space="preserve">7.1 Structural Recommendation</w:t>
      </w:r>
    </w:p>
    <w:p>
      <w:pPr>
        <w:spacing w:after="160" w:line="300"/>
        <w:jc w:val="both"/>
      </w:pPr>
      <w:r>
        <w:rPr>
          <w:rFonts w:ascii="Calibri" w:cs="Calibri" w:eastAsia="Calibri" w:hAnsi="Calibri"/>
          <w:sz w:val="22"/>
          <w:szCs w:val="22"/>
        </w:rPr>
        <w:t xml:space="preserve">The investment is structured as a hybrid arrangement that begins as a quarterly profit-share for the first twelve months and converts to formal equity ownership at month twelve, subject to mutual confirmation. This structure is specifically designed for the Iraqi market and the earliest stage of the business, combining the simplicity and cultural familiarity of profit-share with the long-term alignment and upside capture of equity ownership.</w:t>
      </w:r>
    </w:p>
    <w:p>
      <w:pPr>
        <w:spacing w:after="160" w:line="300"/>
        <w:jc w:val="both"/>
      </w:pPr>
      <w:r>
        <w:rPr>
          <w:rFonts w:ascii="Calibri" w:cs="Calibri" w:eastAsia="Calibri" w:hAnsi="Calibri"/>
          <w:sz w:val="22"/>
          <w:szCs w:val="22"/>
        </w:rPr>
        <w:t xml:space="preserve">The rationale for this hybrid approach rests on four observations. Iraqi investors are broadly familiar with profit-share arrangements and understand them intuitively, whereas formal equity structures are less common outside of larger enterprises and can create friction during the earliest negotiations. The first twelve months of the business carry the highest uncertainty, and delaying formal ownership commitments until the business has proven its trajectory protects both the investor and the founder from locking into arrangements based on projections that later prove inaccurate. Profit-share arrangements are also more readily compatible with Islamic financial principles where that consideration applies. Finally, the conversion trigger at month twelve creates a natural review point where both parties can confirm the relationship is functioning before making long-term commitments.</w:t>
      </w:r>
    </w:p>
    <w:p>
      <w:pPr>
        <w:spacing w:after="160" w:line="300"/>
        <w:jc w:val="both"/>
      </w:pPr>
      <w:r>
        <w:rPr>
          <w:rFonts w:ascii="Calibri" w:cs="Calibri" w:eastAsia="Calibri" w:hAnsi="Calibri"/>
          <w:sz w:val="22"/>
          <w:szCs w:val="22"/>
        </w:rPr>
        <w:t xml:space="preserve">Alternative structures considered and rejected include pure equity from day one, which introduces complexity and formal valuation discussions too early in a business that does not yet have meaningful revenue to anchor valuation; pure loan arrangements, which create inflexible monthly repayment obligations that damage early-stage cash flow; and pure profit-share without conversion, which leaves investors without the long-term upside that equity provides and creates misalignment once the business grows substantially.</w:t>
      </w:r>
    </w:p>
    <w:p>
      <w:pPr>
        <w:pStyle w:val="Heading2"/>
        <w:spacing w:after="160" w:before="280"/>
      </w:pPr>
      <w:r>
        <w:rPr>
          <w:rFonts w:ascii="Calibri" w:cs="Calibri" w:eastAsia="Calibri" w:hAnsi="Calibri"/>
          <w:b/>
          <w:bCs/>
          <w:color w:val="2E75B6"/>
          <w:sz w:val="28"/>
          <w:szCs w:val="28"/>
        </w:rPr>
        <w:t xml:space="preserve">7.2 Ownership Structure</w:t>
      </w:r>
    </w:p>
    <w:p>
      <w:pPr>
        <w:spacing w:after="160" w:line="300"/>
        <w:jc w:val="both"/>
      </w:pPr>
      <w:r>
        <w:rPr>
          <w:rFonts w:ascii="Calibri" w:cs="Calibri" w:eastAsia="Calibri" w:hAnsi="Calibri"/>
          <w:sz w:val="22"/>
          <w:szCs w:val="22"/>
        </w:rPr>
        <w:t xml:space="preserve">The recommended ownership structure at the point of month-twelve conversion allocates forty percent to the founder, twenty-eight percent to each of two investment partners, and four percent to a performance-based team equity pool. This distribution reflects the combined value of cash investment, in-kind contribution, and ongoing role, and preserves both investor protection and founder operational authority.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1500"/>
        <w:gridCol w:w="1860"/>
      </w:tblGrid>
      <w:tr>
        <w:trPr>
          <w:tblHeader/>
        </w:trPr>
        <w:tc>
          <w:tcPr>
            <w:tcW w:type="dxa" w:w="20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Party</w:t>
            </w:r>
          </w:p>
        </w:tc>
        <w:tc>
          <w:tcPr>
            <w:tcW w:type="dxa" w:w="40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Contribution</w:t>
            </w:r>
          </w:p>
        </w:tc>
        <w:tc>
          <w:tcPr>
            <w:tcW w:type="dxa" w:w="15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Contribution Type</w:t>
            </w:r>
          </w:p>
        </w:tc>
        <w:tc>
          <w:tcPr>
            <w:tcW w:type="dxa" w:w="186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Equity %</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Founder / General Manager</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Office space, utilities, ongoing management (valued at ~$5,700 over six months); strategic leadership; personal risk</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In-kind and role</w:t>
            </w:r>
          </w:p>
        </w:tc>
        <w:tc>
          <w:tcPr>
            <w:tcW w:type="dxa" w:w="1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40%</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Investor 1</w:t>
            </w:r>
          </w:p>
        </w:tc>
        <w:tc>
          <w:tcPr>
            <w:tcW w:type="dxa" w:w="4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$13,000 cash investment</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Cash</w:t>
            </w:r>
          </w:p>
        </w:tc>
        <w:tc>
          <w:tcPr>
            <w:tcW w:type="dxa" w:w="18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28%</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Investor 2</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$13,000 cash investment</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Cash</w:t>
            </w:r>
          </w:p>
        </w:tc>
        <w:tc>
          <w:tcPr>
            <w:tcW w:type="dxa" w:w="1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28%</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Team Equity Pool</w:t>
            </w:r>
          </w:p>
        </w:tc>
        <w:tc>
          <w:tcPr>
            <w:tcW w:type="dxa" w:w="4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Performance-based allocation earned through twelve months of service and performance</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Earned</w:t>
            </w:r>
          </w:p>
        </w:tc>
        <w:tc>
          <w:tcPr>
            <w:tcW w:type="dxa" w:w="18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4%</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Total</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
            </w:r>
          </w:p>
        </w:tc>
        <w:tc>
          <w:tcPr>
            <w:tcW w:type="dxa" w:w="1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100%</w:t>
            </w:r>
          </w:p>
        </w:tc>
      </w:tr>
    </w:tbl>
    <w:p>
      <w:pPr>
        <w:spacing w:after="160" w:line="300"/>
        <w:jc w:val="both"/>
      </w:pPr>
      <w:r>
        <w:rPr>
          <w:rFonts w:ascii="Calibri" w:cs="Calibri" w:eastAsia="Calibri" w:hAnsi="Calibri"/>
          <w:sz w:val="22"/>
          <w:szCs w:val="22"/>
        </w:rPr>
        <w:t xml:space="preserve">The founder’s forty percent position is justified by three distinct contributions operating simultaneously. The physical space alone, at a conservative market value of three to five hundred dollars per month, represents a capital contribution of thirty-six hundred to six thousand dollars over the first year. The utilities and logistics support adds another fifteen hundred to twenty-four hundred dollars of equivalent cost savings. The General Manager’s full-time commitment to the business, without drawing a salary and instead taking compensation from profit distributions, represents opportunity cost that no pure cash investor bears. Combined, these contributions justify a meaningfully larger equity position than cash investors without being so large as to suggest the founder is undervaluing the investors’ capital.</w:t>
      </w:r>
    </w:p>
    <w:p>
      <w:pPr>
        <w:spacing w:after="160" w:line="300"/>
        <w:jc w:val="both"/>
      </w:pPr>
      <w:r>
        <w:rPr>
          <w:rFonts w:ascii="Calibri" w:cs="Calibri" w:eastAsia="Calibri" w:hAnsi="Calibri"/>
          <w:sz w:val="22"/>
          <w:szCs w:val="22"/>
        </w:rPr>
        <w:t xml:space="preserve">The two investors at twenty-eight percent each jointly hold fifty-six percent, which provides them with meaningful majority on any matter requiring their combined agreement while ensuring that neither investor individually can override the founder on operational matters. The team equity pool of four percent is small enough to avoid diluting the principal parties’ positions materially while large enough to provide genuine motivational value to the team members who earn access to it. It is distributed by the General Manager in consultation with the Tech Lead at month twelve, based on documented performance across the first year.</w:t>
      </w:r>
    </w:p>
    <w:p>
      <w:pPr>
        <w:pStyle w:val="Heading2"/>
        <w:spacing w:after="160" w:before="280"/>
      </w:pPr>
      <w:r>
        <w:rPr>
          <w:rFonts w:ascii="Calibri" w:cs="Calibri" w:eastAsia="Calibri" w:hAnsi="Calibri"/>
          <w:b/>
          <w:bCs/>
          <w:color w:val="2E75B6"/>
          <w:sz w:val="28"/>
          <w:szCs w:val="28"/>
        </w:rPr>
        <w:t xml:space="preserve">7.3 Decision-Making Authority</w:t>
      </w:r>
    </w:p>
    <w:p>
      <w:pPr>
        <w:spacing w:after="160" w:line="300"/>
        <w:jc w:val="both"/>
      </w:pPr>
      <w:r>
        <w:rPr>
          <w:rFonts w:ascii="Calibri" w:cs="Calibri" w:eastAsia="Calibri" w:hAnsi="Calibri"/>
          <w:sz w:val="22"/>
          <w:szCs w:val="22"/>
        </w:rPr>
        <w:t xml:space="preserve">Clear allocation of decision-making authority prevents the disputes that cause most early-stage investment relationships to deteriorate. The governance structure follows three principles: operational decisions belong to the General Manager alone, major financial decisions require investor consultation, and fundamental structural decisions require unanimous agreement.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Decision Category</w:t>
            </w:r>
          </w:p>
        </w:tc>
        <w:tc>
          <w:tcPr>
            <w:tcW w:type="dxa" w:w="436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Authority</w:t>
            </w:r>
          </w:p>
        </w:tc>
      </w:tr>
      <w:tr>
        <w:tc>
          <w:tcPr>
            <w:tcW w:type="dxa" w:w="5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Day-to-day operations</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General Manager alone</w:t>
            </w:r>
          </w:p>
        </w:tc>
      </w:tr>
      <w:tr>
        <w:tc>
          <w:tcPr>
            <w:tcW w:type="dxa" w:w="5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Team hiring and termination</w:t>
            </w:r>
          </w:p>
        </w:tc>
        <w:tc>
          <w:tcPr>
            <w:tcW w:type="dxa" w:w="4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General Manager alone</w:t>
            </w:r>
          </w:p>
        </w:tc>
      </w:tr>
      <w:tr>
        <w:tc>
          <w:tcPr>
            <w:tcW w:type="dxa" w:w="5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Client pricing and contract terms</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General Manager alone</w:t>
            </w:r>
          </w:p>
        </w:tc>
      </w:tr>
      <w:tr>
        <w:tc>
          <w:tcPr>
            <w:tcW w:type="dxa" w:w="5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Expenses under $500 per occurrence</w:t>
            </w:r>
          </w:p>
        </w:tc>
        <w:tc>
          <w:tcPr>
            <w:tcW w:type="dxa" w:w="4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General Manager alone</w:t>
            </w:r>
          </w:p>
        </w:tc>
      </w:tr>
      <w:tr>
        <w:tc>
          <w:tcPr>
            <w:tcW w:type="dxa" w:w="5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Expenses $500–2,000 per occurrence</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General Manager with notification to investors</w:t>
            </w:r>
          </w:p>
        </w:tc>
      </w:tr>
      <w:tr>
        <w:tc>
          <w:tcPr>
            <w:tcW w:type="dxa" w:w="5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Expenses above $2,000 per occurrence</w:t>
            </w:r>
          </w:p>
        </w:tc>
        <w:tc>
          <w:tcPr>
            <w:tcW w:type="dxa" w:w="4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General Manager with investor approval</w:t>
            </w:r>
          </w:p>
        </w:tc>
      </w:tr>
      <w:tr>
        <w:tc>
          <w:tcPr>
            <w:tcW w:type="dxa" w:w="5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Quarterly profit distribution amounts</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Per agreement formula, no discretion</w:t>
            </w:r>
          </w:p>
        </w:tc>
      </w:tr>
      <w:tr>
        <w:tc>
          <w:tcPr>
            <w:tcW w:type="dxa" w:w="5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Addition of new investors</w:t>
            </w:r>
          </w:p>
        </w:tc>
        <w:tc>
          <w:tcPr>
            <w:tcW w:type="dxa" w:w="4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Unanimous agreement of all existing parties</w:t>
            </w:r>
          </w:p>
        </w:tc>
      </w:tr>
      <w:tr>
        <w:tc>
          <w:tcPr>
            <w:tcW w:type="dxa" w:w="5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Company dissolution</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Unanimous agreement</w:t>
            </w:r>
          </w:p>
        </w:tc>
      </w:tr>
      <w:tr>
        <w:tc>
          <w:tcPr>
            <w:tcW w:type="dxa" w:w="5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Changes to equity structure</w:t>
            </w:r>
          </w:p>
        </w:tc>
        <w:tc>
          <w:tcPr>
            <w:tcW w:type="dxa" w:w="4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Unanimous agreement</w:t>
            </w:r>
          </w:p>
        </w:tc>
      </w:tr>
      <w:tr>
        <w:tc>
          <w:tcPr>
            <w:tcW w:type="dxa" w:w="5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Expansion to new cities or markets</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General Manager with investor notification and consultation</w:t>
            </w:r>
          </w:p>
        </w:tc>
      </w:tr>
      <w:tr>
        <w:tc>
          <w:tcPr>
            <w:tcW w:type="dxa" w:w="5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Launch of major new product lines</w:t>
            </w:r>
          </w:p>
        </w:tc>
        <w:tc>
          <w:tcPr>
            <w:tcW w:type="dxa" w:w="4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General Manager with investor notification</w:t>
            </w:r>
          </w:p>
        </w:tc>
      </w:tr>
    </w:tbl>
    <w:p>
      <w:pPr>
        <w:spacing w:after="160" w:line="300"/>
        <w:jc w:val="both"/>
      </w:pPr>
      <w:r>
        <w:rPr>
          <w:rFonts w:ascii="Calibri" w:cs="Calibri" w:eastAsia="Calibri" w:hAnsi="Calibri"/>
          <w:sz w:val="22"/>
          <w:szCs w:val="22"/>
        </w:rPr>
        <w:t xml:space="preserve">This allocation reflects a practical truth of early-stage businesses: the founder must be able to make decisions quickly without constant consultation, while the investors must have visibility and veto power over decisions that affect the fundamental structure of their investment. The threshold values for expense approval are deliberately calibrated to allow normal operational flexibility while ensuring that any decision with material financial impact is reviewed jointly.</w:t>
      </w:r>
    </w:p>
    <w:p>
      <w:pPr>
        <w:pStyle w:val="Heading2"/>
        <w:spacing w:after="160" w:before="280"/>
      </w:pPr>
      <w:r>
        <w:rPr>
          <w:rFonts w:ascii="Calibri" w:cs="Calibri" w:eastAsia="Calibri" w:hAnsi="Calibri"/>
          <w:b/>
          <w:bCs/>
          <w:color w:val="2E75B6"/>
          <w:sz w:val="28"/>
          <w:szCs w:val="28"/>
        </w:rPr>
        <w:t xml:space="preserve">7.4 Profit Distribution Mechanics</w:t>
      </w:r>
    </w:p>
    <w:p>
      <w:pPr>
        <w:spacing w:after="160" w:line="300"/>
        <w:jc w:val="both"/>
      </w:pPr>
      <w:r>
        <w:rPr>
          <w:rFonts w:ascii="Calibri" w:cs="Calibri" w:eastAsia="Calibri" w:hAnsi="Calibri"/>
          <w:sz w:val="22"/>
          <w:szCs w:val="22"/>
        </w:rPr>
        <w:t xml:space="preserve">Profit distributions begin at month six once the business has achieved positive cash flow, and continue on a quarterly basis through month twelve before transitioning to monthly distributions in the second year. Distributions are calculated from net profit, defined as revenue minus all operating expenses including salaries, subscriptions, project-specific costs, and reasonable administrative expenses, but excluding the founder’s management fee, which is itself a distribution line.</w:t>
      </w:r>
    </w:p>
    <w:p>
      <w:pPr>
        <w:pStyle w:val="Heading3"/>
        <w:spacing w:after="120" w:before="200"/>
      </w:pPr>
      <w:r>
        <w:rPr>
          <w:rFonts w:ascii="Calibri" w:cs="Calibri" w:eastAsia="Calibri" w:hAnsi="Calibri"/>
          <w:b/>
          <w:bCs/>
          <w:color w:val="1F4E79"/>
          <w:sz w:val="24"/>
          <w:szCs w:val="24"/>
        </w:rPr>
        <w:t xml:space="preserve">Distribution Formula</w:t>
      </w:r>
    </w:p>
    <w:p>
      <w:pPr>
        <w:spacing w:after="160" w:line="300"/>
        <w:jc w:val="both"/>
      </w:pPr>
      <w:r>
        <w:rPr>
          <w:rFonts w:ascii="Calibri" w:cs="Calibri" w:eastAsia="Calibri" w:hAnsi="Calibri"/>
          <w:sz w:val="22"/>
          <w:szCs w:val="22"/>
        </w:rPr>
        <w:t xml:space="preserve">Net profit for each distribution period is allocated across five categories on the following percentages: twenty percent to Investor 1, twenty percent to Investor 2, forty percent to the company reinvestment fund which is retained for equipment upgrades and working capital, fifteen percent to the General Manager as management fee, and five percent to the team bonus pool distributed among team members based on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Recipient</w:t>
            </w:r>
          </w:p>
        </w:tc>
        <w:tc>
          <w:tcPr>
            <w:tcW w:type="dxa" w:w="336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Percentage of Net Profit</w:t>
            </w:r>
          </w:p>
        </w:tc>
      </w:tr>
      <w:tr>
        <w:tc>
          <w:tcPr>
            <w:tcW w:type="dxa" w:w="6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Investor 1</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20%</w:t>
            </w:r>
          </w:p>
        </w:tc>
      </w:tr>
      <w:tr>
        <w:tc>
          <w:tcPr>
            <w:tcW w:type="dxa" w:w="6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Investor 2</w:t>
            </w:r>
          </w:p>
        </w:tc>
        <w:tc>
          <w:tcPr>
            <w:tcW w:type="dxa" w:w="3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20%</w:t>
            </w:r>
          </w:p>
        </w:tc>
      </w:tr>
      <w:tr>
        <w:tc>
          <w:tcPr>
            <w:tcW w:type="dxa" w:w="6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Company reinvestment fund</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40%</w:t>
            </w:r>
          </w:p>
        </w:tc>
      </w:tr>
      <w:tr>
        <w:tc>
          <w:tcPr>
            <w:tcW w:type="dxa" w:w="6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General Manager fee</w:t>
            </w:r>
          </w:p>
        </w:tc>
        <w:tc>
          <w:tcPr>
            <w:tcW w:type="dxa" w:w="3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15%</w:t>
            </w:r>
          </w:p>
        </w:tc>
      </w:tr>
      <w:tr>
        <w:tc>
          <w:tcPr>
            <w:tcW w:type="dxa" w:w="6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Team bonus pool</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5%</w:t>
            </w:r>
          </w:p>
        </w:tc>
      </w:tr>
    </w:tbl>
    <w:p>
      <w:pPr>
        <w:spacing w:after="160" w:line="300"/>
        <w:jc w:val="both"/>
      </w:pPr>
      <w:r>
        <w:rPr>
          <w:rFonts w:ascii="Calibri" w:cs="Calibri" w:eastAsia="Calibri" w:hAnsi="Calibri"/>
          <w:sz w:val="22"/>
          <w:szCs w:val="22"/>
        </w:rPr>
        <w:t xml:space="preserve">Illustrating this with a concrete example, if net profit in a given quarter is six thousand dollars, the distribution is twelve hundred dollars to each investor, twenty-four hundred dollars retained by the company for reinvestment, nine hundred dollars to the General Manager as management fee, and three hundred dollars to the team bonus pool distributed across the five team members. This formula applies uniformly across all quarters and is not subject to discretionary adjustment, which protects all parties from disputes about distribution timing or amount.</w:t>
      </w:r>
    </w:p>
    <w:p>
      <w:pPr>
        <w:spacing w:after="160" w:line="300"/>
        <w:jc w:val="both"/>
      </w:pPr>
      <w:r>
        <w:rPr>
          <w:rFonts w:ascii="Calibri" w:cs="Calibri" w:eastAsia="Calibri" w:hAnsi="Calibri"/>
          <w:sz w:val="22"/>
          <w:szCs w:val="22"/>
        </w:rPr>
        <w:t xml:space="preserve">The forty percent reinvestment allocation is deliberately higher than typical investor arrangements, reflecting the fact that an early-stage technology business requires continuous reinvestment in equipment, software, team expansion, and marketing. Starving the reinvestment fund in favor of higher immediate distributions produces short-term satisfaction but long-term stagnation, and investors who understand the dynamics of growth businesses accept this structure readily. Once the business matures beyond month eighteen and infrastructure investment needs decline, the reinvestment percentage can be reviewed downward by mutual agreement.</w:t>
      </w:r>
    </w:p>
    <w:p>
      <w:pPr>
        <w:pStyle w:val="Heading2"/>
        <w:spacing w:after="160" w:before="280"/>
      </w:pPr>
      <w:r>
        <w:rPr>
          <w:rFonts w:ascii="Calibri" w:cs="Calibri" w:eastAsia="Calibri" w:hAnsi="Calibri"/>
          <w:b/>
          <w:bCs/>
          <w:color w:val="2E75B6"/>
          <w:sz w:val="28"/>
          <w:szCs w:val="28"/>
        </w:rPr>
        <w:t xml:space="preserve">7.5 Investor Protections</w:t>
      </w:r>
    </w:p>
    <w:p>
      <w:pPr>
        <w:spacing w:after="160" w:line="300"/>
        <w:jc w:val="both"/>
      </w:pPr>
      <w:r>
        <w:rPr>
          <w:rFonts w:ascii="Calibri" w:cs="Calibri" w:eastAsia="Calibri" w:hAnsi="Calibri"/>
          <w:sz w:val="22"/>
          <w:szCs w:val="22"/>
        </w:rPr>
        <w:t xml:space="preserve">The investor protections written into the agreement address the six concerns that all thoughtful investors raise at the beginning of any partnership.</w:t>
      </w:r>
    </w:p>
    <w:p>
      <w:pPr>
        <w:spacing w:after="160" w:line="300"/>
        <w:jc w:val="both"/>
      </w:pPr>
      <w:r>
        <w:rPr>
          <w:rFonts w:ascii="Calibri" w:cs="Calibri" w:eastAsia="Calibri" w:hAnsi="Calibri"/>
          <w:sz w:val="22"/>
          <w:szCs w:val="22"/>
        </w:rPr>
        <w:t xml:space="preserve">Transparency is secured through a standing commitment to monthly financial reports delivered to both investors, containing revenue, expense details, cash position, active client count, and progress against the quarterly plan. This report is delivered without investor request, on a fixed schedule, by the fifth business day of each month.</w:t>
      </w:r>
    </w:p>
    <w:p>
      <w:pPr>
        <w:spacing w:after="160" w:line="300"/>
        <w:jc w:val="both"/>
      </w:pPr>
      <w:r>
        <w:rPr>
          <w:rFonts w:ascii="Calibri" w:cs="Calibri" w:eastAsia="Calibri" w:hAnsi="Calibri"/>
          <w:sz w:val="22"/>
          <w:szCs w:val="22"/>
        </w:rPr>
        <w:t xml:space="preserve">Financial separation is maintained through a dedicated company bank account that receives all revenue and pays all expenses, with no commingling of company and personal funds under any circumstance. Bank statements are provided to investors on request and are referenced in the monthly financial report.</w:t>
      </w:r>
    </w:p>
    <w:p>
      <w:pPr>
        <w:spacing w:after="160" w:line="300"/>
        <w:jc w:val="both"/>
      </w:pPr>
      <w:r>
        <w:rPr>
          <w:rFonts w:ascii="Calibri" w:cs="Calibri" w:eastAsia="Calibri" w:hAnsi="Calibri"/>
          <w:sz w:val="22"/>
          <w:szCs w:val="22"/>
        </w:rPr>
        <w:t xml:space="preserve">Asset protection is established by listing all significant equipment purchases in a company asset register, which is attached to the investment agreement and updated as purchases are made. These assets are legally company property rather than personal property of the founder, and cannot be transferred or encumbered without investor agreement.</w:t>
      </w:r>
    </w:p>
    <w:p>
      <w:pPr>
        <w:spacing w:after="160" w:line="300"/>
        <w:jc w:val="both"/>
      </w:pPr>
      <w:r>
        <w:rPr>
          <w:rFonts w:ascii="Calibri" w:cs="Calibri" w:eastAsia="Calibri" w:hAnsi="Calibri"/>
          <w:sz w:val="22"/>
          <w:szCs w:val="22"/>
        </w:rPr>
        <w:t xml:space="preserve">No founder salary is drawn from invested capital, which prevents the scenario investors most fear where invested funds flow out through founder compensation before reaching operations. The founder’s compensation consists solely of the fifteen percent management fee from distributed profit, meaning the founder earns nothing personally until the business is profitable.</w:t>
      </w:r>
    </w:p>
    <w:p>
      <w:pPr>
        <w:spacing w:after="160" w:line="300"/>
        <w:jc w:val="both"/>
      </w:pPr>
      <w:r>
        <w:rPr>
          <w:rFonts w:ascii="Calibri" w:cs="Calibri" w:eastAsia="Calibri" w:hAnsi="Calibri"/>
          <w:sz w:val="22"/>
          <w:szCs w:val="22"/>
        </w:rPr>
        <w:t xml:space="preserve">Exit rights are explicitly defined, with both investors having the option to request buyback of their position after month eighteen. If exercised, the company has one hundred twenty days to complete the buyback at a fair value calculated according to the formula specified in the agreement, which reflects cumulative retained profit and a reasonable market multiple of current monthly revenue.</w:t>
      </w:r>
    </w:p>
    <w:p>
      <w:pPr>
        <w:spacing w:after="160" w:line="300"/>
        <w:jc w:val="both"/>
      </w:pPr>
      <w:r>
        <w:rPr>
          <w:rFonts w:ascii="Calibri" w:cs="Calibri" w:eastAsia="Calibri" w:hAnsi="Calibri"/>
          <w:sz w:val="22"/>
          <w:szCs w:val="22"/>
        </w:rPr>
        <w:t xml:space="preserve">Dispute resolution follows a defined sequence beginning with direct discussion between the parties, escalating to mediation by a mutually agreed third party, and only in exceptional circumstances proceeding to formal legal action. This sequence is preferable to both parties because legal disputes destroy business value faster than any commercial problem, and a defined path to informal resolution preserves the relationship that originally made the investment possible.</w:t>
      </w:r>
    </w:p>
    <w:p>
      <w:pPr>
        <w:pStyle w:val="Heading2"/>
        <w:spacing w:after="160" w:before="280"/>
      </w:pPr>
      <w:r>
        <w:rPr>
          <w:rFonts w:ascii="Calibri" w:cs="Calibri" w:eastAsia="Calibri" w:hAnsi="Calibri"/>
          <w:b/>
          <w:bCs/>
          <w:color w:val="2E75B6"/>
          <w:sz w:val="28"/>
          <w:szCs w:val="28"/>
        </w:rPr>
        <w:t xml:space="preserve">7.6 Scenarios and Contingencies</w:t>
      </w:r>
    </w:p>
    <w:p>
      <w:pPr>
        <w:spacing w:after="160" w:line="300"/>
        <w:jc w:val="both"/>
      </w:pPr>
      <w:r>
        <w:rPr>
          <w:rFonts w:ascii="Calibri" w:cs="Calibri" w:eastAsia="Calibri" w:hAnsi="Calibri"/>
          <w:sz w:val="22"/>
          <w:szCs w:val="22"/>
        </w:rPr>
        <w:t xml:space="preserve">The investment agreement addresses foreseeable scenarios explicitly, because ambiguity at the point of a dispute is dramatically more damaging than explicit terms negotiated while the parties are aligned.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Scenario</w:t>
            </w:r>
          </w:p>
        </w:tc>
        <w:tc>
          <w:tcPr>
            <w:tcW w:type="dxa" w:w="536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Resolution</w:t>
            </w:r>
          </w:p>
        </w:tc>
      </w:tr>
      <w:tr>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Business generates no profit for six consecutive months</w:t>
            </w:r>
          </w:p>
        </w:tc>
        <w:tc>
          <w:tcPr>
            <w:tcW w:type="dxa" w:w="5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Formal review meeting of all three parties; decision to continue, pivot, or wind down requires majority agreement</w:t>
            </w:r>
          </w:p>
        </w:tc>
      </w:tr>
      <w:tr>
        <w:tc>
          <w:tcPr>
            <w:tcW w:type="dxa" w:w="4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Investor requests early exit before Month 18</w:t>
            </w:r>
          </w:p>
        </w:tc>
        <w:tc>
          <w:tcPr>
            <w:tcW w:type="dxa" w:w="5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Ninety-day notice required; buyback at original investment value only, without profit multiplier</w:t>
            </w:r>
          </w:p>
        </w:tc>
      </w:tr>
      <w:tr>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Disagreement between Investor 1 and Investor 2</w:t>
            </w:r>
          </w:p>
        </w:tc>
        <w:tc>
          <w:tcPr>
            <w:tcW w:type="dxa" w:w="5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General Manager vote resolves on operational matters; unanimous required only on structural matters</w:t>
            </w:r>
          </w:p>
        </w:tc>
      </w:tr>
      <w:tr>
        <w:tc>
          <w:tcPr>
            <w:tcW w:type="dxa" w:w="4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Key team member departure</w:t>
            </w:r>
          </w:p>
        </w:tc>
        <w:tc>
          <w:tcPr>
            <w:tcW w:type="dxa" w:w="5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Replacement decision is General Manager’s alone; no investor approval required</w:t>
            </w:r>
          </w:p>
        </w:tc>
      </w:tr>
      <w:tr>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Company dissolution</w:t>
            </w:r>
          </w:p>
        </w:tc>
        <w:tc>
          <w:tcPr>
            <w:tcW w:type="dxa" w:w="5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Equipment liquidated; proceeds distributed by equity percentage after debts cleared</w:t>
            </w:r>
          </w:p>
        </w:tc>
      </w:tr>
      <w:tr>
        <w:tc>
          <w:tcPr>
            <w:tcW w:type="dxa" w:w="4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Additional investment required from existing parties</w:t>
            </w:r>
          </w:p>
        </w:tc>
        <w:tc>
          <w:tcPr>
            <w:tcW w:type="dxa" w:w="5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Proportional contribution offered to existing investors before new investors considered</w:t>
            </w:r>
          </w:p>
        </w:tc>
      </w:tr>
      <w:tr>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New investor addition</w:t>
            </w:r>
          </w:p>
        </w:tc>
        <w:tc>
          <w:tcPr>
            <w:tcW w:type="dxa" w:w="5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Unanimous approval required; dilution applied proportionally to all existing parties unless otherwise agreed</w:t>
            </w:r>
          </w:p>
        </w:tc>
      </w:tr>
      <w:tr>
        <w:tc>
          <w:tcPr>
            <w:tcW w:type="dxa" w:w="4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General Manager incapacity or departure</w:t>
            </w:r>
          </w:p>
        </w:tc>
        <w:tc>
          <w:tcPr>
            <w:tcW w:type="dxa" w:w="5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Tech Lead assumes operational control; investors collectively select permanent solution within ninety days</w:t>
            </w:r>
          </w:p>
        </w:tc>
      </w:tr>
    </w:tbl>
    <w:p>
      <w:pPr>
        <w:pStyle w:val="Heading2"/>
        <w:spacing w:after="160" w:before="280"/>
      </w:pPr>
      <w:r>
        <w:rPr>
          <w:rFonts w:ascii="Calibri" w:cs="Calibri" w:eastAsia="Calibri" w:hAnsi="Calibri"/>
          <w:b/>
          <w:bCs/>
          <w:color w:val="2E75B6"/>
          <w:sz w:val="28"/>
          <w:szCs w:val="28"/>
        </w:rPr>
        <w:t xml:space="preserve">7.7 Written Agreement Contents</w:t>
      </w:r>
    </w:p>
    <w:p>
      <w:pPr>
        <w:spacing w:after="160" w:line="300"/>
        <w:jc w:val="both"/>
      </w:pPr>
      <w:r>
        <w:rPr>
          <w:rFonts w:ascii="Calibri" w:cs="Calibri" w:eastAsia="Calibri" w:hAnsi="Calibri"/>
          <w:sz w:val="22"/>
          <w:szCs w:val="22"/>
        </w:rPr>
        <w:t xml:space="preserve">The formal investment agreement, executed and notarized before any capital changes hands, must contain the following elements to provide legal protection to all parties and operational clarity for the life of the relationship.</w:t>
      </w:r>
    </w:p>
    <w:p>
      <w:pPr>
        <w:spacing w:after="160" w:line="300"/>
        <w:jc w:val="both"/>
      </w:pPr>
      <w:r>
        <w:rPr>
          <w:rFonts w:ascii="Calibri" w:cs="Calibri" w:eastAsia="Calibri" w:hAnsi="Calibri"/>
          <w:sz w:val="22"/>
          <w:szCs w:val="22"/>
        </w:rPr>
        <w:t xml:space="preserve">The agreement begins with identification of the company by full legal name, registration number, and business address, followed by identification of each party by name, national identification number, and contact details. It states the contribution of each party in specific terms, with cash contributions expressed in United States dollars and in-kind contributions described precisely with valuation methodology. It specifies the ownership percentages that take effect at the month-twelve conversion point and the interim profit-share percentages that apply during the first year.</w:t>
      </w:r>
    </w:p>
    <w:p>
      <w:pPr>
        <w:spacing w:after="160" w:line="300"/>
        <w:jc w:val="both"/>
      </w:pPr>
      <w:r>
        <w:rPr>
          <w:rFonts w:ascii="Calibri" w:cs="Calibri" w:eastAsia="Calibri" w:hAnsi="Calibri"/>
          <w:sz w:val="22"/>
          <w:szCs w:val="22"/>
        </w:rPr>
        <w:t xml:space="preserve">Decision-making authority is defined using the table in section 7.3, included as an appendix to the agreement rather than merely referenced. Profit distribution mechanics are specified with the formula, the timing of distributions, and the calculation methodology. Monthly reporting obligations are described in detail, including required contents, delivery method, and delivery deadline. Exit terms include the buyback formula, notice periods, and completion timelines. The dispute resolution sequence is described with the identity of any preferred third-party mediator if known.</w:t>
      </w:r>
    </w:p>
    <w:p>
      <w:pPr>
        <w:spacing w:after="160" w:line="300"/>
        <w:jc w:val="both"/>
      </w:pPr>
      <w:r>
        <w:rPr>
          <w:rFonts w:ascii="Calibri" w:cs="Calibri" w:eastAsia="Calibri" w:hAnsi="Calibri"/>
          <w:sz w:val="22"/>
          <w:szCs w:val="22"/>
        </w:rPr>
        <w:t xml:space="preserve">The agreement is signed by all three parties in the presence of a notary public, with signatures witnessed and the document registered at the notary’s office. Each party receives a certified copy, and an additional certified copy is maintained in a secure location separate from the office. Total cost of legal preparation and notarization is estimated at three hundred to six hundred dollars, which is a small investment relative to the protection the document provides.</w:t>
      </w:r>
    </w:p>
    <w:p>
      <w:pPr>
        <w:pStyle w:val="Heading2"/>
        <w:spacing w:after="160" w:before="280"/>
      </w:pPr>
      <w:r>
        <w:rPr>
          <w:rFonts w:ascii="Calibri" w:cs="Calibri" w:eastAsia="Calibri" w:hAnsi="Calibri"/>
          <w:b/>
          <w:bCs/>
          <w:color w:val="2E75B6"/>
          <w:sz w:val="28"/>
          <w:szCs w:val="28"/>
        </w:rPr>
        <w:t xml:space="preserve">7.8 Presenting the Investment to Prospective Partners</w:t>
      </w:r>
    </w:p>
    <w:p>
      <w:pPr>
        <w:spacing w:after="160" w:line="300"/>
        <w:jc w:val="both"/>
      </w:pPr>
      <w:r>
        <w:rPr>
          <w:rFonts w:ascii="Calibri" w:cs="Calibri" w:eastAsia="Calibri" w:hAnsi="Calibri"/>
          <w:sz w:val="22"/>
          <w:szCs w:val="22"/>
        </w:rPr>
        <w:t xml:space="preserve">The recommended sequence for walking a prospective investor through the opportunity follows five stages, each building on the previous one.</w:t>
      </w:r>
    </w:p>
    <w:p>
      <w:pPr>
        <w:spacing w:after="160" w:line="300"/>
        <w:jc w:val="both"/>
      </w:pPr>
      <w:r>
        <w:rPr>
          <w:rFonts w:ascii="Calibri" w:cs="Calibri" w:eastAsia="Calibri" w:hAnsi="Calibri"/>
          <w:sz w:val="22"/>
          <w:szCs w:val="22"/>
        </w:rPr>
        <w:t xml:space="preserve">The first stage establishes the opportunity by walking through the foundational content from Phase 1 and the product portfolio from Phase 3: what the company does, why Iraq needs it now, and why this specific combination of capabilities is defensible. This is the stage where the investor decides whether to continue the conversation, and it must be delivered with conviction and concrete detail rather than abstract aspiration.</w:t>
      </w:r>
    </w:p>
    <w:p>
      <w:pPr>
        <w:spacing w:after="160" w:line="300"/>
        <w:jc w:val="both"/>
      </w:pPr>
      <w:r>
        <w:rPr>
          <w:rFonts w:ascii="Calibri" w:cs="Calibri" w:eastAsia="Calibri" w:hAnsi="Calibri"/>
          <w:sz w:val="22"/>
          <w:szCs w:val="22"/>
        </w:rPr>
        <w:t xml:space="preserve">The second stage presents the numbers from Phase 6: the total capital required, the monthly burn rate, the revenue projections across three scenarios, and the projected payback period. This is the stage where the investor performs their financial evaluation, and honesty about the range of outcomes is essential. Presenting only the optimistic scenario destroys credibility; presenting all three scenarios with the realistic case as the anchor builds it.</w:t>
      </w:r>
    </w:p>
    <w:p>
      <w:pPr>
        <w:spacing w:after="160" w:line="300"/>
        <w:jc w:val="both"/>
      </w:pPr>
      <w:r>
        <w:rPr>
          <w:rFonts w:ascii="Calibri" w:cs="Calibri" w:eastAsia="Calibri" w:hAnsi="Calibri"/>
          <w:sz w:val="22"/>
          <w:szCs w:val="22"/>
        </w:rPr>
        <w:t xml:space="preserve">The third stage presents the deal structure from this Phase 7: what the investor receives for their thirteen thousand dollars, how profit flows back to them, what protections they have, and what happens in foreseeable scenarios. This is the stage where the investor decides whether the structure aligns with their expectations and risk tolerance.</w:t>
      </w:r>
    </w:p>
    <w:p>
      <w:pPr>
        <w:spacing w:after="160" w:line="300"/>
        <w:jc w:val="both"/>
      </w:pPr>
      <w:r>
        <w:rPr>
          <w:rFonts w:ascii="Calibri" w:cs="Calibri" w:eastAsia="Calibri" w:hAnsi="Calibri"/>
          <w:sz w:val="22"/>
          <w:szCs w:val="22"/>
        </w:rPr>
        <w:t xml:space="preserve">The fourth stage presents the team and execution capability from Phases 4 and 5: who will build the business, what infrastructure will support them, and how the first ninety days will unfold. This is the stage where the investor evaluates not only the opportunity but the capability to capture it.</w:t>
      </w:r>
    </w:p>
    <w:p>
      <w:pPr>
        <w:spacing w:after="160" w:line="300"/>
        <w:jc w:val="both"/>
      </w:pPr>
      <w:r>
        <w:rPr>
          <w:rFonts w:ascii="Calibri" w:cs="Calibri" w:eastAsia="Calibri" w:hAnsi="Calibri"/>
          <w:sz w:val="22"/>
          <w:szCs w:val="22"/>
        </w:rPr>
        <w:t xml:space="preserve">The fifth stage is the close: a direct, confident statement of what is being offered and what commitment is requested. A clear ask, with a defined timeline for response, invites the decision rather than leaving the investor to initiate the next step. In practice, most prospective investors require a second meeting to make a final decision, and scheduling that meeting at the end of the first is itself a form of close.</w:t>
      </w:r>
    </w:p>
    <w:p>
      <w:pPr>
        <w:pStyle w:val="Heading2"/>
        <w:spacing w:after="160" w:before="280"/>
      </w:pPr>
      <w:r>
        <w:rPr>
          <w:rFonts w:ascii="Calibri" w:cs="Calibri" w:eastAsia="Calibri" w:hAnsi="Calibri"/>
          <w:b/>
          <w:bCs/>
          <w:color w:val="2E75B6"/>
          <w:sz w:val="28"/>
          <w:szCs w:val="28"/>
        </w:rPr>
        <w:t xml:space="preserve">7.9 Investor Profile Criteria</w:t>
      </w:r>
    </w:p>
    <w:p>
      <w:pPr>
        <w:spacing w:after="160" w:line="300"/>
        <w:jc w:val="both"/>
      </w:pPr>
      <w:r>
        <w:rPr>
          <w:rFonts w:ascii="Calibri" w:cs="Calibri" w:eastAsia="Calibri" w:hAnsi="Calibri"/>
          <w:sz w:val="22"/>
          <w:szCs w:val="22"/>
        </w:rPr>
        <w:t xml:space="preserve">Not every person with available capital is an appropriate investor for this business, and selecting the right partners matters more than the speed of closing the round. The preferred investor profile has five characteristics.</w:t>
      </w:r>
    </w:p>
    <w:p>
      <w:pPr>
        <w:spacing w:after="160" w:line="300"/>
        <w:jc w:val="both"/>
      </w:pPr>
      <w:r>
        <w:rPr>
          <w:rFonts w:ascii="Calibri" w:cs="Calibri" w:eastAsia="Calibri" w:hAnsi="Calibri"/>
          <w:sz w:val="22"/>
          <w:szCs w:val="22"/>
        </w:rPr>
        <w:t xml:space="preserve">They know the founder personally and trust has already been established through prior interactions. This is the foundation of every successful investment relationship in Iraq’s business culture, and attempting to substitute marketing polish for personal trust produces predictable disappointment.</w:t>
      </w:r>
    </w:p>
    <w:p>
      <w:pPr>
        <w:spacing w:after="160" w:line="300"/>
        <w:jc w:val="both"/>
      </w:pPr>
      <w:r>
        <w:rPr>
          <w:rFonts w:ascii="Calibri" w:cs="Calibri" w:eastAsia="Calibri" w:hAnsi="Calibri"/>
          <w:sz w:val="22"/>
          <w:szCs w:val="22"/>
        </w:rPr>
        <w:t xml:space="preserve">They are patient with the return horizon, understanding that meaningful returns begin at month six and full payback occurs between months fourteen and eighteen on the realistic scenario. Investors who require faster returns will be unhappy regardless of how well the business performs.</w:t>
      </w:r>
    </w:p>
    <w:p>
      <w:pPr>
        <w:spacing w:after="160" w:line="300"/>
        <w:jc w:val="both"/>
      </w:pPr>
      <w:r>
        <w:rPr>
          <w:rFonts w:ascii="Calibri" w:cs="Calibri" w:eastAsia="Calibri" w:hAnsi="Calibri"/>
          <w:sz w:val="22"/>
          <w:szCs w:val="22"/>
        </w:rPr>
        <w:t xml:space="preserve">They bring more than money. The ideal investor opens doors to potential clients through their own business network, introduces the company to peers who may become clients or partners, or contributes industry expertise that accelerates decision-making on specific projects. These contributions often exceed the financial value of the investment itself.</w:t>
      </w:r>
    </w:p>
    <w:p>
      <w:pPr>
        <w:spacing w:after="160" w:line="300"/>
        <w:jc w:val="both"/>
      </w:pPr>
      <w:r>
        <w:rPr>
          <w:rFonts w:ascii="Calibri" w:cs="Calibri" w:eastAsia="Calibri" w:hAnsi="Calibri"/>
          <w:sz w:val="22"/>
          <w:szCs w:val="22"/>
        </w:rPr>
        <w:t xml:space="preserve">They are silent in operational matters, funding the business rather than attempting to run it. Investors who involve themselves in daily decisions undermine the General Manager’s authority and slow every operational decision. The investment agreement’s decision-making structure is designed to prevent this, but aligned expectations from the beginning prevent the friction entirely.</w:t>
      </w:r>
    </w:p>
    <w:p>
      <w:pPr>
        <w:spacing w:after="160" w:line="300"/>
        <w:jc w:val="both"/>
      </w:pPr>
      <w:r>
        <w:rPr>
          <w:rFonts w:ascii="Calibri" w:cs="Calibri" w:eastAsia="Calibri" w:hAnsi="Calibri"/>
          <w:sz w:val="22"/>
          <w:szCs w:val="22"/>
        </w:rPr>
        <w:t xml:space="preserve">They are financially stable enough that thirteen thousand dollars is money they can genuinely afford to commit, without anxiety and without immediate need. Investors under financial pressure make the business bear that pressure, asking for early distributions, requesting reports outside the agreed schedule, and creating the kind of low-grade friction that damages focus over months. The financial comfort of the investor is therefore a feature of the partnership, not merely their private matter.</w:t>
      </w:r>
    </w:p>
    <w:p>
      <w:pPr>
        <w:pStyle w:val="Heading1"/>
        <w:pageBreakBefore/>
        <w:spacing w:after="240" w:before="400"/>
      </w:pPr>
      <w:r>
        <w:rPr>
          <w:rFonts w:ascii="Calibri" w:cs="Calibri" w:eastAsia="Calibri" w:hAnsi="Calibri"/>
          <w:b/>
          <w:bCs/>
          <w:color w:val="1F4E79"/>
          <w:sz w:val="36"/>
          <w:szCs w:val="36"/>
        </w:rPr>
        <w:t xml:space="preserve">Phase 8 — Go-to-Market Strategy</w:t>
      </w:r>
    </w:p>
    <w:p>
      <w:pPr>
        <w:pBdr>
          <w:left w:val="single" w:color="2E75B6" w:sz="24" w:space="12"/>
        </w:pBdr>
        <w:spacing w:after="160" w:before="160" w:line="300"/>
        <w:ind w:left="360" w:right="360"/>
      </w:pPr>
      <w:r>
        <w:rPr>
          <w:rFonts w:ascii="Calibri" w:cs="Calibri" w:eastAsia="Calibri" w:hAnsi="Calibri"/>
          <w:i/>
          <w:iCs/>
          <w:color w:val="2E75B6"/>
          <w:sz w:val="22"/>
          <w:szCs w:val="22"/>
        </w:rPr>
        <w:t xml:space="preserve">The ninety-day plan for acquiring the first clients, the sales approach that converts conversations into contracts, and the tactics that generate referrals faster than outreach alone can.</w:t>
      </w:r>
    </w:p>
    <w:p>
      <w:pPr>
        <w:pStyle w:val="Heading2"/>
        <w:spacing w:after="160" w:before="280"/>
      </w:pPr>
      <w:r>
        <w:rPr>
          <w:rFonts w:ascii="Calibri" w:cs="Calibri" w:eastAsia="Calibri" w:hAnsi="Calibri"/>
          <w:b/>
          <w:bCs/>
          <w:color w:val="2E75B6"/>
          <w:sz w:val="28"/>
          <w:szCs w:val="28"/>
        </w:rPr>
        <w:t xml:space="preserve">8.1 Core Sales Philosophy</w:t>
      </w:r>
    </w:p>
    <w:p>
      <w:pPr>
        <w:spacing w:after="160" w:line="300"/>
        <w:jc w:val="both"/>
      </w:pPr>
      <w:r>
        <w:rPr>
          <w:rFonts w:ascii="Calibri" w:cs="Calibri" w:eastAsia="Calibri" w:hAnsi="Calibri"/>
          <w:sz w:val="22"/>
          <w:szCs w:val="22"/>
        </w:rPr>
        <w:t xml:space="preserve">Before tactics come principles. The defining principle of the company’s sales approach is that clients are not buying AI. They are buying outcomes — more appointments kept, fewer hours spent on manual tasks, better visibility into their own operations, faster responses to customers, clearer data to make decisions. The technology is invisible to the client; the results are everything. Every sales conversation, every proposal, every marketing message follows from this single understanding.</w:t>
      </w:r>
    </w:p>
    <w:p>
      <w:pPr>
        <w:spacing w:after="160" w:line="300"/>
        <w:jc w:val="both"/>
      </w:pPr>
      <w:r>
        <w:rPr>
          <w:rFonts w:ascii="Calibri" w:cs="Calibri" w:eastAsia="Calibri" w:hAnsi="Calibri"/>
          <w:sz w:val="22"/>
          <w:szCs w:val="22"/>
        </w:rPr>
        <w:t xml:space="preserve">A second principle governs specificity. A sales message that says “we do AI for businesses” generates no response because it signals that the company has not actually thought about the recipient. A sales message that says “we help private clinics reduce missed appointments by automating follow-up with patients in Iraqi Arabic” demonstrates relevance immediately and invites a conversation. Every outreach, regardless of channel, begins with specificity rather than generality.</w:t>
      </w:r>
    </w:p>
    <w:p>
      <w:pPr>
        <w:spacing w:after="160" w:line="300"/>
        <w:jc w:val="both"/>
      </w:pPr>
      <w:r>
        <w:rPr>
          <w:rFonts w:ascii="Calibri" w:cs="Calibri" w:eastAsia="Calibri" w:hAnsi="Calibri"/>
          <w:sz w:val="22"/>
          <w:szCs w:val="22"/>
        </w:rPr>
        <w:t xml:space="preserve">A third principle governs trust. In Iraq’s business culture, trust precedes transaction more strongly than in most markets, and no amount of polished materials substitutes for a person the client can actually sit across from, call when something goes wrong, and hold accountable. The sales process is therefore designed to build trust progressively through a sequence of low-commitment interactions — a short conversation, then an on-site consultation, then a proposal, then a small paid engagement — rather than attempting to close large deals from initial contact.</w:t>
      </w:r>
    </w:p>
    <w:p>
      <w:pPr>
        <w:pStyle w:val="Heading2"/>
        <w:spacing w:after="160" w:before="280"/>
      </w:pPr>
      <w:r>
        <w:rPr>
          <w:rFonts w:ascii="Calibri" w:cs="Calibri" w:eastAsia="Calibri" w:hAnsi="Calibri"/>
          <w:b/>
          <w:bCs/>
          <w:color w:val="2E75B6"/>
          <w:sz w:val="28"/>
          <w:szCs w:val="28"/>
        </w:rPr>
        <w:t xml:space="preserve">8.2 Ninety-Day Action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316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Week</w:t>
            </w:r>
          </w:p>
        </w:tc>
        <w:tc>
          <w:tcPr>
            <w:tcW w:type="dxa" w:w="50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Primary Actions</w:t>
            </w:r>
          </w:p>
        </w:tc>
        <w:tc>
          <w:tcPr>
            <w:tcW w:type="dxa" w:w="316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Outcome Target</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Week 1</w:t>
            </w:r>
          </w:p>
        </w:tc>
        <w:tc>
          <w:tcPr>
            <w:tcW w:type="dxa" w:w="5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Launch company social media accounts (Instagram, Facebook, LinkedIn, TikTok); register domain and set up basic professional email</w:t>
            </w:r>
          </w:p>
        </w:tc>
        <w:tc>
          <w:tcPr>
            <w:tcW w:type="dxa" w:w="3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Online presence established</w:t>
            </w:r>
          </w:p>
        </w:tc>
      </w:tr>
      <w:tr>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Week 2</w:t>
            </w:r>
          </w:p>
        </w:tc>
        <w:tc>
          <w:tcPr>
            <w:tcW w:type="dxa" w:w="5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Build one-page company website with services, contact information, and initial case studies drawn from internal practice projects</w:t>
            </w:r>
          </w:p>
        </w:tc>
        <w:tc>
          <w:tcPr>
            <w:tcW w:type="dxa" w:w="3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Website live and indexed</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Week 3</w:t>
            </w:r>
          </w:p>
        </w:tc>
        <w:tc>
          <w:tcPr>
            <w:tcW w:type="dxa" w:w="5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Compile list of 20 specific target businesses in the city with researched decision-maker contact information</w:t>
            </w:r>
          </w:p>
        </w:tc>
        <w:tc>
          <w:tcPr>
            <w:tcW w:type="dxa" w:w="3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Prospect database ready</w:t>
            </w:r>
          </w:p>
        </w:tc>
      </w:tr>
      <w:tr>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Week 4</w:t>
            </w:r>
          </w:p>
        </w:tc>
        <w:tc>
          <w:tcPr>
            <w:tcW w:type="dxa" w:w="5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Sales Representative begins daily outreach through WhatsApp, phone, and in-person visits</w:t>
            </w:r>
          </w:p>
        </w:tc>
        <w:tc>
          <w:tcPr>
            <w:tcW w:type="dxa" w:w="3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5 meetings booked in first outreach cycle</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Week 5</w:t>
            </w:r>
          </w:p>
        </w:tc>
        <w:tc>
          <w:tcPr>
            <w:tcW w:type="dxa" w:w="5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Deliver first free consultation visits to 2 qualified prospects; begin diagnostic conversations</w:t>
            </w:r>
          </w:p>
        </w:tc>
        <w:tc>
          <w:tcPr>
            <w:tcW w:type="dxa" w:w="3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Real client conversations initiated</w:t>
            </w:r>
          </w:p>
        </w:tc>
      </w:tr>
      <w:tr>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Week 6</w:t>
            </w:r>
          </w:p>
        </w:tc>
        <w:tc>
          <w:tcPr>
            <w:tcW w:type="dxa" w:w="5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Follow up on consultations with tailored proposals; request introductions from contacts</w:t>
            </w:r>
          </w:p>
        </w:tc>
        <w:tc>
          <w:tcPr>
            <w:tcW w:type="dxa" w:w="3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First paid proposals sent</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Week 7</w:t>
            </w:r>
          </w:p>
        </w:tc>
        <w:tc>
          <w:tcPr>
            <w:tcW w:type="dxa" w:w="5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Close first paid project at a clearly defined scope</w:t>
            </w:r>
          </w:p>
        </w:tc>
        <w:tc>
          <w:tcPr>
            <w:tcW w:type="dxa" w:w="3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First revenue received</w:t>
            </w:r>
          </w:p>
        </w:tc>
      </w:tr>
      <w:tr>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Week 8</w:t>
            </w:r>
          </w:p>
        </w:tc>
        <w:tc>
          <w:tcPr>
            <w:tcW w:type="dxa" w:w="5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Deliver first project with careful documentation of before-state and after-state metrics</w:t>
            </w:r>
          </w:p>
        </w:tc>
        <w:tc>
          <w:tcPr>
            <w:tcW w:type="dxa" w:w="3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First case study created</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Week 9–12</w:t>
            </w:r>
          </w:p>
        </w:tc>
        <w:tc>
          <w:tcPr>
            <w:tcW w:type="dxa" w:w="5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Use first case study to approach 10 additional businesses in the same sector</w:t>
            </w:r>
          </w:p>
        </w:tc>
        <w:tc>
          <w:tcPr>
            <w:tcW w:type="dxa" w:w="3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Pipeline expanded, second and third projects begun</w:t>
            </w:r>
          </w:p>
        </w:tc>
      </w:tr>
    </w:tbl>
    <w:p>
      <w:pPr>
        <w:spacing w:after="160" w:line="300"/>
        <w:jc w:val="both"/>
      </w:pPr>
      <w:r>
        <w:rPr>
          <w:rFonts w:ascii="Calibri" w:cs="Calibri" w:eastAsia="Calibri" w:hAnsi="Calibri"/>
          <w:sz w:val="22"/>
          <w:szCs w:val="22"/>
        </w:rPr>
        <w:t xml:space="preserve">The ninety-day plan is deliberately aggressive in its outreach targets but conservative in its revenue assumptions. The goal of the first ninety days is not to generate substantial revenue — the financial projections account for that — but to generate the operational proof points that accelerate everything afterward. A single well-documented successful project becomes the basis for the next ten proposals, and the quality of that first delivery matters more than any marketing activity.</w:t>
      </w:r>
    </w:p>
    <w:p>
      <w:pPr>
        <w:pStyle w:val="Heading2"/>
        <w:spacing w:after="160" w:before="280"/>
      </w:pPr>
      <w:r>
        <w:rPr>
          <w:rFonts w:ascii="Calibri" w:cs="Calibri" w:eastAsia="Calibri" w:hAnsi="Calibri"/>
          <w:b/>
          <w:bCs/>
          <w:color w:val="2E75B6"/>
          <w:sz w:val="28"/>
          <w:szCs w:val="28"/>
        </w:rPr>
        <w:t xml:space="preserve">8.3 The Five-Step Sales Approach</w:t>
      </w:r>
    </w:p>
    <w:p>
      <w:pPr>
        <w:pStyle w:val="Heading3"/>
        <w:spacing w:after="120" w:before="200"/>
      </w:pPr>
      <w:r>
        <w:rPr>
          <w:rFonts w:ascii="Calibri" w:cs="Calibri" w:eastAsia="Calibri" w:hAnsi="Calibri"/>
          <w:b/>
          <w:bCs/>
          <w:color w:val="1F4E79"/>
          <w:sz w:val="24"/>
          <w:szCs w:val="24"/>
        </w:rPr>
        <w:t xml:space="preserve">Step One — The Opening</w:t>
      </w:r>
    </w:p>
    <w:p>
      <w:pPr>
        <w:spacing w:after="160" w:line="300"/>
        <w:jc w:val="both"/>
      </w:pPr>
      <w:r>
        <w:rPr>
          <w:rFonts w:ascii="Calibri" w:cs="Calibri" w:eastAsia="Calibri" w:hAnsi="Calibri"/>
          <w:sz w:val="22"/>
          <w:szCs w:val="22"/>
        </w:rPr>
        <w:t xml:space="preserve">First contact with a prospective client begins not with a pitch but with a question. The Sales Representative, approaching a business either in person, through WhatsApp, or by phone, opens with an observation that demonstrates familiarity with the prospect’s operations followed by a question that invites them to imagine a better state. A typical opening might be: “I noticed your clinic still handles appointments by phone. Have you ever thought about what it would look like if patients could book and reschedule themselves through WhatsApp, even outside of working hours?” If the prospect shows interest, a meeting is requested. If they show disinterest, the conversation ends without pressure and the Sales Representative moves to the next prospect. Persistence against disinterested prospects wastes time on both sides.</w:t>
      </w:r>
    </w:p>
    <w:p>
      <w:pPr>
        <w:pStyle w:val="Heading3"/>
        <w:spacing w:after="120" w:before="200"/>
      </w:pPr>
      <w:r>
        <w:rPr>
          <w:rFonts w:ascii="Calibri" w:cs="Calibri" w:eastAsia="Calibri" w:hAnsi="Calibri"/>
          <w:b/>
          <w:bCs/>
          <w:color w:val="1F4E79"/>
          <w:sz w:val="24"/>
          <w:szCs w:val="24"/>
        </w:rPr>
        <w:t xml:space="preserve">Step Two — The Consultation</w:t>
      </w:r>
    </w:p>
    <w:p>
      <w:pPr>
        <w:spacing w:after="160" w:line="300"/>
        <w:jc w:val="both"/>
      </w:pPr>
      <w:r>
        <w:rPr>
          <w:rFonts w:ascii="Calibri" w:cs="Calibri" w:eastAsia="Calibri" w:hAnsi="Calibri"/>
          <w:sz w:val="22"/>
          <w:szCs w:val="22"/>
        </w:rPr>
        <w:t xml:space="preserve">The consultation, whether free or priced modestly, is the most important interaction in the sales process. It takes place at the prospect’s premises whenever possible, lasts thirty to forty-five minutes, and is structured around three diagnostic questions: which tasks consume the most time every day, where is money being lost or left uncaptured, and which activities are performed by staff that could reasonably be performed by a system. The Sales Representative listens more than they talk, takes detailed notes, and leaves the meeting with specific understanding of the client’s situation rather than a checklist of company capabilities.</w:t>
      </w:r>
    </w:p>
    <w:p>
      <w:pPr>
        <w:pStyle w:val="Heading3"/>
        <w:spacing w:after="120" w:before="200"/>
      </w:pPr>
      <w:r>
        <w:rPr>
          <w:rFonts w:ascii="Calibri" w:cs="Calibri" w:eastAsia="Calibri" w:hAnsi="Calibri"/>
          <w:b/>
          <w:bCs/>
          <w:color w:val="1F4E79"/>
          <w:sz w:val="24"/>
          <w:szCs w:val="24"/>
        </w:rPr>
        <w:t xml:space="preserve">Step Three — The Proposal</w:t>
      </w:r>
    </w:p>
    <w:p>
      <w:pPr>
        <w:spacing w:after="160" w:line="300"/>
        <w:jc w:val="both"/>
      </w:pPr>
      <w:r>
        <w:rPr>
          <w:rFonts w:ascii="Calibri" w:cs="Calibri" w:eastAsia="Calibri" w:hAnsi="Calibri"/>
          <w:sz w:val="22"/>
          <w:szCs w:val="22"/>
        </w:rPr>
        <w:t xml:space="preserve">Within forty-eight hours of the consultation, a proposal is delivered in writing. The proposal is short, no more than one page in most cases, and follows a consistent structure. It describes the problem in the client’s own words as captured during the consultation. It proposes a specific solution expressed in plain Arabic, avoiding technical jargon. It states the price clearly, in three tiers where appropriate, with no hidden fees or ambiguous terms. It describes what the client gains in concrete terms, such as hours saved weekly or appointments previously missed. It specifies the delivery timeline. A longer proposal is rarely better than a shorter one, and clients consistently prefer clarity over comprehensiveness.</w:t>
      </w:r>
    </w:p>
    <w:p>
      <w:pPr>
        <w:pStyle w:val="Heading3"/>
        <w:spacing w:after="120" w:before="200"/>
      </w:pPr>
      <w:r>
        <w:rPr>
          <w:rFonts w:ascii="Calibri" w:cs="Calibri" w:eastAsia="Calibri" w:hAnsi="Calibri"/>
          <w:b/>
          <w:bCs/>
          <w:color w:val="1F4E79"/>
          <w:sz w:val="24"/>
          <w:szCs w:val="24"/>
        </w:rPr>
        <w:t xml:space="preserve">Step Four — The Follow-Up</w:t>
      </w:r>
    </w:p>
    <w:p>
      <w:pPr>
        <w:spacing w:after="160" w:line="300"/>
        <w:jc w:val="both"/>
      </w:pPr>
      <w:r>
        <w:rPr>
          <w:rFonts w:ascii="Calibri" w:cs="Calibri" w:eastAsia="Calibri" w:hAnsi="Calibri"/>
          <w:sz w:val="22"/>
          <w:szCs w:val="22"/>
        </w:rPr>
        <w:t xml:space="preserve">The first follow-up on a sent proposal occurs exactly three days after delivery, neither sooner nor later. Following up sooner suggests desperation; following up later suggests indifference. The follow-up is a short, direct message asking whether the prospect has had a chance to review and whether any questions have emerged. If no response is received to the first follow-up, a second follow-up is sent four days later. If no response is received to the second follow-up, the prospect is removed from active pursuit and their name is added to a quarterly re-engagement list for later contact. Chasing prospects beyond two follow-ups erodes the company’s credibility and wastes the Sales Representative’s time.</w:t>
      </w:r>
    </w:p>
    <w:p>
      <w:pPr>
        <w:pStyle w:val="Heading3"/>
        <w:spacing w:after="120" w:before="200"/>
      </w:pPr>
      <w:r>
        <w:rPr>
          <w:rFonts w:ascii="Calibri" w:cs="Calibri" w:eastAsia="Calibri" w:hAnsi="Calibri"/>
          <w:b/>
          <w:bCs/>
          <w:color w:val="1F4E79"/>
          <w:sz w:val="24"/>
          <w:szCs w:val="24"/>
        </w:rPr>
        <w:t xml:space="preserve">Step Five — The Close</w:t>
      </w:r>
    </w:p>
    <w:p>
      <w:pPr>
        <w:spacing w:after="160" w:line="300"/>
        <w:jc w:val="both"/>
      </w:pPr>
      <w:r>
        <w:rPr>
          <w:rFonts w:ascii="Calibri" w:cs="Calibri" w:eastAsia="Calibri" w:hAnsi="Calibri"/>
          <w:sz w:val="22"/>
          <w:szCs w:val="22"/>
        </w:rPr>
        <w:t xml:space="preserve">When a prospect responds with interest, the close is conducted by reframing the investment in terms of its value rather than its cost. The defining question is not “can you afford this” but “what is it costing you to not have this.” If a clinic receives and loses three appointment calls per day outside of working hours, and each appointment represents fifty dollars in services, the cost of not having an AI chatbot is forty-five hundred dollars per month. Against that cost, a one-time investment of one thousand dollars plus a monthly retainer of one hundred fifty dollars becomes evidently cheap. The close is not pressure; it is the mathematical reframing of the decision from expense to investment.</w:t>
      </w:r>
    </w:p>
    <w:p>
      <w:pPr>
        <w:pStyle w:val="Heading2"/>
        <w:spacing w:after="160" w:before="280"/>
      </w:pPr>
      <w:r>
        <w:rPr>
          <w:rFonts w:ascii="Calibri" w:cs="Calibri" w:eastAsia="Calibri" w:hAnsi="Calibri"/>
          <w:b/>
          <w:bCs/>
          <w:color w:val="2E75B6"/>
          <w:sz w:val="28"/>
          <w:szCs w:val="28"/>
        </w:rPr>
        <w:t xml:space="preserve">8.4 Pricing Presentation</w:t>
      </w:r>
    </w:p>
    <w:p>
      <w:pPr>
        <w:spacing w:after="160" w:line="300"/>
        <w:jc w:val="both"/>
      </w:pPr>
      <w:r>
        <w:rPr>
          <w:rFonts w:ascii="Calibri" w:cs="Calibri" w:eastAsia="Calibri" w:hAnsi="Calibri"/>
          <w:sz w:val="22"/>
          <w:szCs w:val="22"/>
        </w:rPr>
        <w:t xml:space="preserve">Every proposal presents three tiers rather than a single price. The basic tier is priced below the target to establish affordability; the standard tier is the target price; the premium tier is priced meaningfully above the target to establish value contrast. In practice, most clients choose the standard tier, basic is chosen primarily by clients with genuinely constrained budgets, and premium is chosen by clients who either need the additional features or who value the signaling of choosing the higher option.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500"/>
        <w:gridCol w:w="186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Tier</w:t>
            </w:r>
          </w:p>
        </w:tc>
        <w:tc>
          <w:tcPr>
            <w:tcW w:type="dxa" w:w="18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Name</w:t>
            </w:r>
          </w:p>
        </w:tc>
        <w:tc>
          <w:tcPr>
            <w:tcW w:type="dxa" w:w="45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Typical Scope</w:t>
            </w:r>
          </w:p>
        </w:tc>
        <w:tc>
          <w:tcPr>
            <w:tcW w:type="dxa" w:w="186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Price vs. Standard</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Entry</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Starter</w:t>
            </w:r>
          </w:p>
        </w:tc>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Core solution only; limited support period; no revisions</w:t>
            </w:r>
          </w:p>
        </w:tc>
        <w:tc>
          <w:tcPr>
            <w:tcW w:type="dxa" w:w="1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-30%</w:t>
            </w:r>
          </w:p>
        </w:tc>
      </w:tr>
      <w:tr>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Middle</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Professional</w:t>
            </w:r>
          </w:p>
        </w:tc>
        <w:tc>
          <w:tcPr>
            <w:tcW w:type="dxa" w:w="4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Core solution plus three months support plus one revision included</w:t>
            </w:r>
          </w:p>
        </w:tc>
        <w:tc>
          <w:tcPr>
            <w:tcW w:type="dxa" w:w="18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Standard price</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Top</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Complete</w:t>
            </w:r>
          </w:p>
        </w:tc>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Full solution plus twelve months support plus staff training plus unlimited minor revisions</w:t>
            </w:r>
          </w:p>
        </w:tc>
        <w:tc>
          <w:tcPr>
            <w:tcW w:type="dxa" w:w="1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+60 to +80%</w:t>
            </w:r>
          </w:p>
        </w:tc>
      </w:tr>
    </w:tbl>
    <w:p>
      <w:pPr>
        <w:spacing w:after="160" w:line="300"/>
        <w:jc w:val="both"/>
      </w:pPr>
      <w:r>
        <w:rPr>
          <w:rFonts w:ascii="Calibri" w:cs="Calibri" w:eastAsia="Calibri" w:hAnsi="Calibri"/>
          <w:sz w:val="22"/>
          <w:szCs w:val="22"/>
        </w:rPr>
        <w:t xml:space="preserve">The deliberate asymmetry of the pricing structure — where the standard tier is closer to basic than to premium — encourages selection of the standard tier, which is the tier at which margins and delivery economics work best. This is not manipulation; it is the presentation of options in a way that helps the client select what is genuinely best for both parties.</w:t>
      </w:r>
    </w:p>
    <w:p>
      <w:pPr>
        <w:pStyle w:val="Heading2"/>
        <w:spacing w:after="160" w:before="280"/>
      </w:pPr>
      <w:r>
        <w:rPr>
          <w:rFonts w:ascii="Calibri" w:cs="Calibri" w:eastAsia="Calibri" w:hAnsi="Calibri"/>
          <w:b/>
          <w:bCs/>
          <w:color w:val="2E75B6"/>
          <w:sz w:val="28"/>
          <w:szCs w:val="28"/>
        </w:rPr>
        <w:t xml:space="preserve">8.5 Marketing Strategy</w:t>
      </w:r>
    </w:p>
    <w:p>
      <w:pPr>
        <w:pStyle w:val="Heading3"/>
        <w:spacing w:after="120" w:before="200"/>
      </w:pPr>
      <w:r>
        <w:rPr>
          <w:rFonts w:ascii="Calibri" w:cs="Calibri" w:eastAsia="Calibri" w:hAnsi="Calibri"/>
          <w:b/>
          <w:bCs/>
          <w:color w:val="1F4E79"/>
          <w:sz w:val="24"/>
          <w:szCs w:val="24"/>
        </w:rPr>
        <w:t xml:space="preserve">Online Presence</w:t>
      </w:r>
    </w:p>
    <w:p>
      <w:pPr>
        <w:spacing w:after="160" w:line="300"/>
        <w:jc w:val="both"/>
      </w:pPr>
      <w:r>
        <w:rPr>
          <w:rFonts w:ascii="Calibri" w:cs="Calibri" w:eastAsia="Calibri" w:hAnsi="Calibri"/>
          <w:sz w:val="22"/>
          <w:szCs w:val="22"/>
        </w:rPr>
        <w:t xml:space="preserve">The company’s online presence is built across four platforms, each serving a distinct purpose. Instagram and Facebook serve as the primary showcases for visible results and behind-the-scenes content that humanizes the company, with daily posts emphasizing before-and-after demonstrations, client stories with permission, and short videos of AI tools in action. Iraqi audiences respond particularly strongly to video content showing concrete results, and this format becomes the core of the social strategy.</w:t>
      </w:r>
    </w:p>
    <w:p>
      <w:pPr>
        <w:spacing w:after="160" w:line="300"/>
        <w:jc w:val="both"/>
      </w:pPr>
      <w:r>
        <w:rPr>
          <w:rFonts w:ascii="Calibri" w:cs="Calibri" w:eastAsia="Calibri" w:hAnsi="Calibri"/>
          <w:sz w:val="22"/>
          <w:szCs w:val="22"/>
        </w:rPr>
        <w:t xml:space="preserve">TikTok serves as the awareness-building platform, with short demonstration videos of AI tools working in Iraqi contexts: a chatbot answering a pharmacy question in Iraqi Arabic, a camera AI identifying factory workers at shift change, an automation script processing a stack of invoices in seconds. These videos require minimal production cost, distribute widely through algorithmic reach, and build the brand awareness that accelerates outreach conversion months later.</w:t>
      </w:r>
    </w:p>
    <w:p>
      <w:pPr>
        <w:spacing w:after="160" w:line="300"/>
        <w:jc w:val="both"/>
      </w:pPr>
      <w:r>
        <w:rPr>
          <w:rFonts w:ascii="Calibri" w:cs="Calibri" w:eastAsia="Calibri" w:hAnsi="Calibri"/>
          <w:sz w:val="22"/>
          <w:szCs w:val="22"/>
        </w:rPr>
        <w:t xml:space="preserve">LinkedIn serves as the professional credibility platform, targeting business owners and managers with content focused on industry-specific applications and return-on-investment discussions. LinkedIn posts are less frequent but more substantive than Instagram posts, typically one to two per week, with each post positioning the company as a thoughtful contributor to the Iraqi business conversation rather than a promotional account.</w:t>
      </w:r>
    </w:p>
    <w:p>
      <w:pPr>
        <w:spacing w:after="160" w:line="300"/>
        <w:jc w:val="both"/>
      </w:pPr>
      <w:r>
        <w:rPr>
          <w:rFonts w:ascii="Calibri" w:cs="Calibri" w:eastAsia="Calibri" w:hAnsi="Calibri"/>
          <w:sz w:val="22"/>
          <w:szCs w:val="22"/>
        </w:rPr>
        <w:t xml:space="preserve">WhatsApp broadcast becomes the direct-outreach platform once a list of business contacts has been assembled, with one valuable tip sent per week to the list. The format is strictly educational rather than promotional, because promotional WhatsApp messages are quickly muted by recipients, while genuinely useful weekly tips build the recipient’s view of the company as a source of value.</w:t>
      </w:r>
    </w:p>
    <w:p>
      <w:pPr>
        <w:pStyle w:val="Heading3"/>
        <w:spacing w:after="120" w:before="200"/>
      </w:pPr>
      <w:r>
        <w:rPr>
          <w:rFonts w:ascii="Calibri" w:cs="Calibri" w:eastAsia="Calibri" w:hAnsi="Calibri"/>
          <w:b/>
          <w:bCs/>
          <w:color w:val="1F4E79"/>
          <w:sz w:val="24"/>
          <w:szCs w:val="24"/>
        </w:rPr>
        <w:t xml:space="preserve">Local Engagement</w:t>
      </w:r>
    </w:p>
    <w:p>
      <w:pPr>
        <w:spacing w:after="160" w:line="300"/>
        <w:jc w:val="both"/>
      </w:pPr>
      <w:r>
        <w:rPr>
          <w:rFonts w:ascii="Calibri" w:cs="Calibri" w:eastAsia="Calibri" w:hAnsi="Calibri"/>
          <w:sz w:val="22"/>
          <w:szCs w:val="22"/>
        </w:rPr>
        <w:t xml:space="preserve">Local engagement complements online marketing and is often more effective in producing actual business. Attendance at any local business event, chamber of commerce meeting, industry conference, or trade gathering produces introductions and relationships that digital marketing cannot match. Partnerships with professional services businesses that already serve the target market — accounting firms, IT hardware shops, business consultants, commercial real estate offices — produce referrals because those businesses visit target clients regularly and can mention the company casually when appropriate. One weekly free AI consultation, advertised on social media and offered to any interested business, produces direct consultation opportunities and also generates the content that fuels social media posts.</w:t>
      </w:r>
    </w:p>
    <w:p>
      <w:pPr>
        <w:pStyle w:val="Heading2"/>
        <w:spacing w:after="160" w:before="280"/>
      </w:pPr>
      <w:r>
        <w:rPr>
          <w:rFonts w:ascii="Calibri" w:cs="Calibri" w:eastAsia="Calibri" w:hAnsi="Calibri"/>
          <w:b/>
          <w:bCs/>
          <w:color w:val="2E75B6"/>
          <w:sz w:val="28"/>
          <w:szCs w:val="28"/>
        </w:rPr>
        <w:t xml:space="preserve">8.6 The Free Pilot Strategy</w:t>
      </w:r>
    </w:p>
    <w:p>
      <w:pPr>
        <w:spacing w:after="160" w:line="300"/>
        <w:jc w:val="both"/>
      </w:pPr>
      <w:r>
        <w:rPr>
          <w:rFonts w:ascii="Calibri" w:cs="Calibri" w:eastAsia="Calibri" w:hAnsi="Calibri"/>
          <w:sz w:val="22"/>
          <w:szCs w:val="22"/>
        </w:rPr>
        <w:t xml:space="preserve">For the first three clients, the company offers a specific risk-free arrangement: build and operate the proposed solution for thirty days at no cost, with the client paying only if they see concrete results at the end of the thirty-day period. This offer eliminates the decision friction that slows early-stage sales, gives the team real projects to complete, and produces case studies backed by real client data that accelerate all subsequent sales. The offer is not extended indefinitely — once the company has three case studies, the free pilot becomes unnecessary and the company transitions to standard paid engagements. But in the crucial first two to three months, the pilot strategy can compress what would otherwise be six months of business development into half that time.</w:t>
      </w:r>
    </w:p>
    <w:p>
      <w:pPr>
        <w:pStyle w:val="Heading2"/>
        <w:spacing w:after="160" w:before="280"/>
      </w:pPr>
      <w:r>
        <w:rPr>
          <w:rFonts w:ascii="Calibri" w:cs="Calibri" w:eastAsia="Calibri" w:hAnsi="Calibri"/>
          <w:b/>
          <w:bCs/>
          <w:color w:val="2E75B6"/>
          <w:sz w:val="28"/>
          <w:szCs w:val="28"/>
        </w:rPr>
        <w:t xml:space="preserve">8.7 First Five Target Clients</w:t>
      </w:r>
    </w:p>
    <w:p>
      <w:pPr>
        <w:spacing w:after="160" w:line="300"/>
        <w:jc w:val="both"/>
      </w:pPr>
      <w:r>
        <w:rPr>
          <w:rFonts w:ascii="Calibri" w:cs="Calibri" w:eastAsia="Calibri" w:hAnsi="Calibri"/>
          <w:sz w:val="22"/>
          <w:szCs w:val="22"/>
        </w:rPr>
        <w:t xml:space="preserve">The first five client relationships should be concentrated across specific business types chosen for their combination of evident pain, sufficient budget, and decision-making speed. These are not aspirational targets but the actual businesses the Sales Representative should approach in the first month of outreach.</w:t>
      </w:r>
    </w:p>
    <w:p>
      <w:pPr>
        <w:spacing w:after="160" w:line="300"/>
        <w:jc w:val="both"/>
      </w:pPr>
      <w:r>
        <w:rPr>
          <w:rFonts w:ascii="Calibri" w:cs="Calibri" w:eastAsia="Calibri" w:hAnsi="Calibri"/>
          <w:sz w:val="22"/>
          <w:szCs w:val="22"/>
        </w:rPr>
        <w:t xml:space="preserve">The first target is a private medical clinic experiencing missed calls and manual appointment friction, where the solution is a WhatsApp AI chatbot combined with automated appointment reminders, and the expected engagement is eight hundred to fifteen hundred dollars in initial project value plus a monthly retainer of one hundred to one hundred fifty dollars. The decision maker is the clinic owner or office manager, and the sales cycle from first contact to signed agreement is typically two to four weeks.</w:t>
      </w:r>
    </w:p>
    <w:p>
      <w:pPr>
        <w:spacing w:after="160" w:line="300"/>
        <w:jc w:val="both"/>
      </w:pPr>
      <w:r>
        <w:rPr>
          <w:rFonts w:ascii="Calibri" w:cs="Calibri" w:eastAsia="Calibri" w:hAnsi="Calibri"/>
          <w:sz w:val="22"/>
          <w:szCs w:val="22"/>
        </w:rPr>
        <w:t xml:space="preserve">The second target is a small to medium trading or import company experiencing manual inventory management and slow invoicing, where the solution combines inventory automation with AI document processing for invoices, and the expected engagement is fifteen hundred to three thousand dollars. The decision maker is the owner or operations manager, and the sales cycle is typically three to five weeks given the higher ticket value and more complex decision dynamics.</w:t>
      </w:r>
    </w:p>
    <w:p>
      <w:pPr>
        <w:spacing w:after="160" w:line="300"/>
        <w:jc w:val="both"/>
      </w:pPr>
      <w:r>
        <w:rPr>
          <w:rFonts w:ascii="Calibri" w:cs="Calibri" w:eastAsia="Calibri" w:hAnsi="Calibri"/>
          <w:sz w:val="22"/>
          <w:szCs w:val="22"/>
        </w:rPr>
        <w:t xml:space="preserve">The third target is a real estate office lacking digital presence and experiencing slow client follow-up, where the solution is a professional website combined with an AI chatbot capable of answering property inquiries, and the expected engagement is seven hundred to fifteen hundred dollars plus monthly maintenance. The decision maker is the owner, and the sales cycle is typically two to three weeks.</w:t>
      </w:r>
    </w:p>
    <w:p>
      <w:pPr>
        <w:spacing w:after="160" w:line="300"/>
        <w:jc w:val="both"/>
      </w:pPr>
      <w:r>
        <w:rPr>
          <w:rFonts w:ascii="Calibri" w:cs="Calibri" w:eastAsia="Calibri" w:hAnsi="Calibri"/>
          <w:sz w:val="22"/>
          <w:szCs w:val="22"/>
        </w:rPr>
        <w:t xml:space="preserve">The fourth target is a restaurant or café, particularly one with multiple locations, lacking online ordering capability and systematic marketing, where the solution combines a website with a WhatsApp ordering bot and AI-assisted social media content generation, and the expected engagement is six hundred to twelve hundred dollars plus one hundred dollars monthly. The decision maker is the owner, and the sales cycle is fast, typically one to three weeks.</w:t>
      </w:r>
    </w:p>
    <w:p>
      <w:pPr>
        <w:spacing w:after="160" w:line="300"/>
        <w:jc w:val="both"/>
      </w:pPr>
      <w:r>
        <w:rPr>
          <w:rFonts w:ascii="Calibri" w:cs="Calibri" w:eastAsia="Calibri" w:hAnsi="Calibri"/>
          <w:sz w:val="22"/>
          <w:szCs w:val="22"/>
        </w:rPr>
        <w:t xml:space="preserve">The fifth target is a small factory or workshop experiencing security gaps and lacking operational monitoring, where the solution is an offline camera AI monitoring system combined with attendance automation, and the expected engagement is twenty-five hundred to five thousand dollars. This is the company’s anchor deal category — higher ticket, longer sales cycle of four to eight weeks, stronger long-term retainer potential, and deeper technical capability demonstration. Securing a factory client in the first quarter substantially accelerates subsequent outreach to similar businesses.</w:t>
      </w:r>
    </w:p>
    <w:p>
      <w:pPr>
        <w:pStyle w:val="Heading2"/>
        <w:spacing w:after="160" w:before="280"/>
      </w:pPr>
      <w:r>
        <w:rPr>
          <w:rFonts w:ascii="Calibri" w:cs="Calibri" w:eastAsia="Calibri" w:hAnsi="Calibri"/>
          <w:b/>
          <w:bCs/>
          <w:color w:val="2E75B6"/>
          <w:sz w:val="28"/>
          <w:szCs w:val="28"/>
        </w:rPr>
        <w:t xml:space="preserve">8.8 Handling Common Objections</w:t>
      </w:r>
    </w:p>
    <w:p>
      <w:pPr>
        <w:spacing w:after="160" w:line="300"/>
        <w:jc w:val="both"/>
      </w:pPr>
      <w:r>
        <w:rPr>
          <w:rFonts w:ascii="Calibri" w:cs="Calibri" w:eastAsia="Calibri" w:hAnsi="Calibri"/>
          <w:sz w:val="22"/>
          <w:szCs w:val="22"/>
        </w:rPr>
        <w:t xml:space="preserve">Five objections recur across nearly every sales conversation with Iraqi business owners, and the Sales Representative must be able to respond to each with a prepared but natural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Objection</w:t>
            </w:r>
          </w:p>
        </w:tc>
        <w:tc>
          <w:tcPr>
            <w:tcW w:type="dxa" w:w="586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Response</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AI is too complicated for our business</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That is exactly why the company exists. The client does not touch the technology. The team handles everything, and the client only sees the results.</w:t>
            </w:r>
          </w:p>
        </w:tc>
      </w:tr>
      <w:tr>
        <w:tc>
          <w:tcPr>
            <w:tcW w:type="dxa" w:w="3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It is too expensive</w:t>
            </w:r>
          </w:p>
        </w:tc>
        <w:tc>
          <w:tcPr>
            <w:tcW w:type="dxa" w:w="58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Let us examine what one month of the current manual work costs in staff hours. In almost every case, the solution pays for itself within sixty to ninety days.</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We tried software before and it did not work</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The company builds custom solutions, not off-the-shelf software. Every solution is designed around the specific workflow of the specific business, which is why it actually gets used.</w:t>
            </w:r>
          </w:p>
        </w:tc>
      </w:tr>
      <w:tr>
        <w:tc>
          <w:tcPr>
            <w:tcW w:type="dxa" w:w="3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We need to think about it</w:t>
            </w:r>
          </w:p>
        </w:tc>
        <w:tc>
          <w:tcPr>
            <w:tcW w:type="dxa" w:w="58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Of course. Can we schedule a follow-up conversation in three days? A brief example of how a similar business used this solution will be sent in the meantime.</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Our data is sensitive and cannot be in the cloud</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All systems the company builds run offline on the client’s own hardware. No data ever leaves their building. This is one of the core reasons the company exists.</w:t>
            </w:r>
          </w:p>
        </w:tc>
      </w:tr>
    </w:tbl>
    <w:p>
      <w:pPr>
        <w:pStyle w:val="Heading2"/>
        <w:spacing w:after="160" w:before="280"/>
      </w:pPr>
      <w:r>
        <w:rPr>
          <w:rFonts w:ascii="Calibri" w:cs="Calibri" w:eastAsia="Calibri" w:hAnsi="Calibri"/>
          <w:b/>
          <w:bCs/>
          <w:color w:val="2E75B6"/>
          <w:sz w:val="28"/>
          <w:szCs w:val="28"/>
        </w:rPr>
        <w:t xml:space="preserve">8.9 Partnerships and Referrals</w:t>
      </w:r>
    </w:p>
    <w:p>
      <w:pPr>
        <w:spacing w:after="160" w:line="300"/>
        <w:jc w:val="both"/>
      </w:pPr>
      <w:r>
        <w:rPr>
          <w:rFonts w:ascii="Calibri" w:cs="Calibri" w:eastAsia="Calibri" w:hAnsi="Calibri"/>
          <w:sz w:val="22"/>
          <w:szCs w:val="22"/>
        </w:rPr>
        <w:t xml:space="preserve">The fastest path to sustainable growth in the Iraqi market runs through trusted referrals rather than cold outreach, and four categories of partnership are particularly valuable. Accounting firms visit every significant business in the city regularly and are trusted advisors to business owners; a single referral partnership with a respected accounting firm can produce five to ten qualified leads monthly. IT hardware shops serve businesses that are already spending on technology and are therefore more receptive to additional technology investment. Business consultants identify problems and can recommend the company as the solution provider. University professors, particularly in business and computer science departments, carry significant credibility and frequently maintain networks that include current and prospective business owners.</w:t>
      </w:r>
    </w:p>
    <w:p>
      <w:pPr>
        <w:spacing w:after="160" w:line="300"/>
        <w:jc w:val="both"/>
      </w:pPr>
      <w:r>
        <w:rPr>
          <w:rFonts w:ascii="Calibri" w:cs="Calibri" w:eastAsia="Calibri" w:hAnsi="Calibri"/>
          <w:sz w:val="22"/>
          <w:szCs w:val="22"/>
        </w:rPr>
        <w:t xml:space="preserve">The referral partnership structure is deliberately simple: ten percent of the project value of any referred client that closes is paid to the referring partner, with no ongoing commitment or obligation required from them. This simplicity eliminates the friction that complex referral programs introduce and makes it easy for any potential partner to say yes. Payment is made promptly upon project closure, and partners who refer successfully are maintained in regular contact through occasional updates and small gestures of appreciation.</w:t>
      </w:r>
    </w:p>
    <w:p>
      <w:pPr>
        <w:pStyle w:val="Heading2"/>
        <w:spacing w:after="160" w:before="280"/>
      </w:pPr>
      <w:r>
        <w:rPr>
          <w:rFonts w:ascii="Calibri" w:cs="Calibri" w:eastAsia="Calibri" w:hAnsi="Calibri"/>
          <w:b/>
          <w:bCs/>
          <w:color w:val="2E75B6"/>
          <w:sz w:val="28"/>
          <w:szCs w:val="28"/>
        </w:rPr>
        <w:t xml:space="preserve">8.10 Pipeline Management</w:t>
      </w:r>
    </w:p>
    <w:p>
      <w:pPr>
        <w:spacing w:after="160" w:line="300"/>
        <w:jc w:val="both"/>
      </w:pPr>
      <w:r>
        <w:rPr>
          <w:rFonts w:ascii="Calibri" w:cs="Calibri" w:eastAsia="Calibri" w:hAnsi="Calibri"/>
          <w:sz w:val="22"/>
          <w:szCs w:val="22"/>
        </w:rPr>
        <w:t xml:space="preserve">The sales pipeline is managed in a shared Notion workspace visible to the General Manager, the Sales Representative, and the Tech Lead. Every prospect progresses through seven defined stages: identified, contacted, meeting booked, proposal sent, negotiating, closed, and delivered. Each prospect record includes the source of the lead, the date of each stage transition, notes from each interaction, and the next planned action with its deadline.</w:t>
      </w:r>
    </w:p>
    <w:p>
      <w:pPr>
        <w:spacing w:after="160" w:line="300"/>
        <w:jc w:val="both"/>
      </w:pPr>
      <w:r>
        <w:rPr>
          <w:rFonts w:ascii="Calibri" w:cs="Calibri" w:eastAsia="Calibri" w:hAnsi="Calibri"/>
          <w:sz w:val="22"/>
          <w:szCs w:val="22"/>
        </w:rPr>
        <w:t xml:space="preserve">The pipeline is reviewed weekly in the Sunday team meeting. Any prospect sitting in one stage for more than fourteen days either moves forward or is removed from active pipeline. This discipline prevents the natural accumulation of stale leads that makes a pipeline appear healthier than it actually is, and it focuses the Sales Representative’s attention on the prospects genuinely moving toward decision. A clean pipeline is an honest pipeline, and an honest pipeline is the only foundation for accurate revenue projection.</w:t>
      </w:r>
    </w:p>
    <w:p>
      <w:pPr>
        <w:pStyle w:val="Heading1"/>
        <w:pageBreakBefore/>
        <w:spacing w:after="240" w:before="400"/>
      </w:pPr>
      <w:r>
        <w:rPr>
          <w:rFonts w:ascii="Calibri" w:cs="Calibri" w:eastAsia="Calibri" w:hAnsi="Calibri"/>
          <w:b/>
          <w:bCs/>
          <w:color w:val="1F4E79"/>
          <w:sz w:val="36"/>
          <w:szCs w:val="36"/>
        </w:rPr>
        <w:t xml:space="preserve">Phase 9 — Risk Analysis and Mitigation</w:t>
      </w:r>
    </w:p>
    <w:p>
      <w:pPr>
        <w:pBdr>
          <w:left w:val="single" w:color="2E75B6" w:sz="24" w:space="12"/>
        </w:pBdr>
        <w:spacing w:after="160" w:before="160" w:line="300"/>
        <w:ind w:left="360" w:right="360"/>
      </w:pPr>
      <w:r>
        <w:rPr>
          <w:rFonts w:ascii="Calibri" w:cs="Calibri" w:eastAsia="Calibri" w:hAnsi="Calibri"/>
          <w:i/>
          <w:iCs/>
          <w:color w:val="2E75B6"/>
          <w:sz w:val="22"/>
          <w:szCs w:val="22"/>
        </w:rPr>
        <w:t xml:space="preserve">Every significant threat to the business identified, evaluated for severity and probability, and addressed through a specific mitigation strategy that the company can execute without additional resources.</w:t>
      </w:r>
    </w:p>
    <w:p>
      <w:pPr>
        <w:pStyle w:val="Heading2"/>
        <w:spacing w:after="160" w:before="280"/>
      </w:pPr>
      <w:r>
        <w:rPr>
          <w:rFonts w:ascii="Calibri" w:cs="Calibri" w:eastAsia="Calibri" w:hAnsi="Calibri"/>
          <w:b/>
          <w:bCs/>
          <w:color w:val="2E75B6"/>
          <w:sz w:val="28"/>
          <w:szCs w:val="28"/>
        </w:rPr>
        <w:t xml:space="preserve">9.1 Risk Management Philosophy</w:t>
      </w:r>
    </w:p>
    <w:p>
      <w:pPr>
        <w:spacing w:after="160" w:line="300"/>
        <w:jc w:val="both"/>
      </w:pPr>
      <w:r>
        <w:rPr>
          <w:rFonts w:ascii="Calibri" w:cs="Calibri" w:eastAsia="Calibri" w:hAnsi="Calibri"/>
          <w:sz w:val="22"/>
          <w:szCs w:val="22"/>
        </w:rPr>
        <w:t xml:space="preserve">Risk management in an early-stage business is not about eliminating risk, which is impossible, but about converting unrecognized threats into known and manageable ones. A risk that has been identified in advance, evaluated for its potential impact, and addressed through a prepared response plan is fundamentally different from a risk that materializes unexpectedly. The first is a challenge to be handled; the second is a crisis. This phase therefore addresses every foreseeable threat to the business systematically, in five categories, with a specific mitigation strategy for each.</w:t>
      </w:r>
    </w:p>
    <w:p>
      <w:pPr>
        <w:spacing w:after="160" w:line="300"/>
        <w:jc w:val="both"/>
      </w:pPr>
      <w:r>
        <w:rPr>
          <w:rFonts w:ascii="Calibri" w:cs="Calibri" w:eastAsia="Calibri" w:hAnsi="Calibri"/>
          <w:sz w:val="22"/>
          <w:szCs w:val="22"/>
        </w:rPr>
        <w:t xml:space="preserve">Presenting this risk analysis to investors is itself a form of credibility building. A founder who can discuss risks openly and show that thoughtful responses have been prepared is substantially more trustworthy than one who treats the business as risk-free. Every investor knows that all businesses face risk; what they are evaluating is whether the founder understands the specific risks of this specific business and has prepared for them.</w:t>
      </w:r>
    </w:p>
    <w:p>
      <w:pPr>
        <w:pStyle w:val="Heading2"/>
        <w:spacing w:after="160" w:before="280"/>
      </w:pPr>
      <w:r>
        <w:rPr>
          <w:rFonts w:ascii="Calibri" w:cs="Calibri" w:eastAsia="Calibri" w:hAnsi="Calibri"/>
          <w:b/>
          <w:bCs/>
          <w:color w:val="2E75B6"/>
          <w:sz w:val="28"/>
          <w:szCs w:val="28"/>
        </w:rPr>
        <w:t xml:space="preserve">9.2 Technical Risks</w:t>
      </w:r>
    </w:p>
    <w:p>
      <w:pPr>
        <w:pStyle w:val="Heading3"/>
        <w:spacing w:after="120" w:before="200"/>
      </w:pPr>
      <w:r>
        <w:rPr>
          <w:rFonts w:ascii="Calibri" w:cs="Calibri" w:eastAsia="Calibri" w:hAnsi="Calibri"/>
          <w:b/>
          <w:bCs/>
          <w:color w:val="1F4E79"/>
          <w:sz w:val="24"/>
          <w:szCs w:val="24"/>
        </w:rPr>
        <w:t xml:space="preserve">Risk: The AI field evolves faster than the team can learn</w:t>
      </w:r>
    </w:p>
    <w:p>
      <w:pPr>
        <w:spacing w:after="160" w:line="300"/>
        <w:jc w:val="both"/>
      </w:pPr>
      <w:r>
        <w:rPr>
          <w:rFonts w:ascii="Calibri" w:cs="Calibri" w:eastAsia="Calibri" w:hAnsi="Calibri"/>
          <w:sz w:val="22"/>
          <w:szCs w:val="22"/>
        </w:rPr>
        <w:t xml:space="preserve">This is a defining and permanent challenge of the industry. The tools, models, and frameworks that are standard today will be partially obsolete in six to twelve months, and a team that stops learning falls behind within a year. The severity is high and the probability is essentially certain, meaning this is not a contingent risk but a baseline operating condition.</w:t>
      </w:r>
    </w:p>
    <w:p>
      <w:pPr>
        <w:spacing w:after="160" w:line="300"/>
        <w:jc w:val="both"/>
      </w:pPr>
      <w:r>
        <w:rPr>
          <w:rFonts w:ascii="Calibri" w:cs="Calibri" w:eastAsia="Calibri" w:hAnsi="Calibri"/>
          <w:sz w:val="22"/>
          <w:szCs w:val="22"/>
        </w:rPr>
        <w:t xml:space="preserve">Mitigation is structural rather than reactive. Continuous learning is embedded in the company’s operating rhythm from day one: every team member dedicates a minimum of one hour daily to learning new developments, and this time is explicitly protected rather than subject to reallocation when project demands rise. The Tech Lead is responsible for weekly field monitoring and for briefing the team on developments relevant to current or upcoming projects. A fixed monthly budget of one to one hundred fifty dollars is allocated to courses, books, and learning subscriptions, ensuring that learning material is always available rather than subject to expense approval. Finally, project post-mortems after every engagement include a learning-review component that captures what was learned for integration into subsequent projects.</w:t>
      </w:r>
    </w:p>
    <w:p>
      <w:pPr>
        <w:pStyle w:val="Heading3"/>
        <w:spacing w:after="120" w:before="200"/>
      </w:pPr>
      <w:r>
        <w:rPr>
          <w:rFonts w:ascii="Calibri" w:cs="Calibri" w:eastAsia="Calibri" w:hAnsi="Calibri"/>
          <w:b/>
          <w:bCs/>
          <w:color w:val="1F4E79"/>
          <w:sz w:val="24"/>
          <w:szCs w:val="24"/>
        </w:rPr>
        <w:t xml:space="preserve">Risk: Hardware failure during a critical engagement</w:t>
      </w:r>
    </w:p>
    <w:p>
      <w:pPr>
        <w:spacing w:after="160" w:line="300"/>
        <w:jc w:val="both"/>
      </w:pPr>
      <w:r>
        <w:rPr>
          <w:rFonts w:ascii="Calibri" w:cs="Calibri" w:eastAsia="Calibri" w:hAnsi="Calibri"/>
          <w:sz w:val="22"/>
          <w:szCs w:val="22"/>
        </w:rPr>
        <w:t xml:space="preserve">A graphics card failing during an active client project, a workstation damaged by a power surge, or a storage device failing with active project data present a genuine operational threat. Severity is high, probability is moderate, and timing is unpredictable.</w:t>
      </w:r>
    </w:p>
    <w:p>
      <w:pPr>
        <w:spacing w:after="160" w:line="300"/>
        <w:jc w:val="both"/>
      </w:pPr>
      <w:r>
        <w:rPr>
          <w:rFonts w:ascii="Calibri" w:cs="Calibri" w:eastAsia="Calibri" w:hAnsi="Calibri"/>
          <w:sz w:val="22"/>
          <w:szCs w:val="22"/>
        </w:rPr>
        <w:t xml:space="preserve">Mitigation begins with the power infrastructure described in Phase 5, which addresses the most common cause of hardware failure in the Iraqi environment. One spare workstation of reasonable specification is maintained, capable of being activated within hours if a primary workstation fails. All active project files are backed up daily to the network-attached storage, and weekly backups are copied to an external drive kept separate from the office. Client delivery deadlines include a three-day buffer explicitly intended to absorb unexpected technical delays, so a hardware failure mid-project does not translate automatically into a missed deadline.</w:t>
      </w:r>
    </w:p>
    <w:p>
      <w:pPr>
        <w:pStyle w:val="Heading3"/>
        <w:spacing w:after="120" w:before="200"/>
      </w:pPr>
      <w:r>
        <w:rPr>
          <w:rFonts w:ascii="Calibri" w:cs="Calibri" w:eastAsia="Calibri" w:hAnsi="Calibri"/>
          <w:b/>
          <w:bCs/>
          <w:color w:val="1F4E79"/>
          <w:sz w:val="24"/>
          <w:szCs w:val="24"/>
        </w:rPr>
        <w:t xml:space="preserve">Risk: Local AI models underperforming client expectations</w:t>
      </w:r>
    </w:p>
    <w:p>
      <w:pPr>
        <w:spacing w:after="160" w:line="300"/>
        <w:jc w:val="both"/>
      </w:pPr>
      <w:r>
        <w:rPr>
          <w:rFonts w:ascii="Calibri" w:cs="Calibri" w:eastAsia="Calibri" w:hAnsi="Calibri"/>
          <w:sz w:val="22"/>
          <w:szCs w:val="22"/>
        </w:rPr>
        <w:t xml:space="preserve">Locally hosted language models are genuinely powerful but are not equal to cloud-based models in every task, and a client who expects the capability of the latest cloud AI may be disappointed when a local model performs differently. Severity is moderate, probability is moderate.</w:t>
      </w:r>
    </w:p>
    <w:p>
      <w:pPr>
        <w:spacing w:after="160" w:line="300"/>
        <w:jc w:val="both"/>
      </w:pPr>
      <w:r>
        <w:rPr>
          <w:rFonts w:ascii="Calibri" w:cs="Calibri" w:eastAsia="Calibri" w:hAnsi="Calibri"/>
          <w:sz w:val="22"/>
          <w:szCs w:val="22"/>
        </w:rPr>
        <w:t xml:space="preserve">Mitigation is built into the sales process itself. Expectations are set honestly and specifically before every engagement, with the Sales Representative and Tech Lead demonstrating the actual model the client will receive rather than generic AI demonstrations. The company’s positioning emphasizes the privacy and reliability advantages of offline AI rather than raw capability parity with cloud services, reframing the conversation to the dimensions where offline AI genuinely wins. Where cloud-level performance is genuinely required and the client accepts the privacy trade-off, a cloud-connected option is offered as a premium tier with explicit data handling discussion.</w:t>
      </w:r>
    </w:p>
    <w:p>
      <w:pPr>
        <w:pStyle w:val="Heading2"/>
        <w:spacing w:after="160" w:before="280"/>
      </w:pPr>
      <w:r>
        <w:rPr>
          <w:rFonts w:ascii="Calibri" w:cs="Calibri" w:eastAsia="Calibri" w:hAnsi="Calibri"/>
          <w:b/>
          <w:bCs/>
          <w:color w:val="2E75B6"/>
          <w:sz w:val="28"/>
          <w:szCs w:val="28"/>
        </w:rPr>
        <w:t xml:space="preserve">9.3 Market Risks</w:t>
      </w:r>
    </w:p>
    <w:p>
      <w:pPr>
        <w:pStyle w:val="Heading3"/>
        <w:spacing w:after="120" w:before="200"/>
      </w:pPr>
      <w:r>
        <w:rPr>
          <w:rFonts w:ascii="Calibri" w:cs="Calibri" w:eastAsia="Calibri" w:hAnsi="Calibri"/>
          <w:b/>
          <w:bCs/>
          <w:color w:val="1F4E79"/>
          <w:sz w:val="24"/>
          <w:szCs w:val="24"/>
        </w:rPr>
        <w:t xml:space="preserve">Risk: Slow client adoption in the early months</w:t>
      </w:r>
    </w:p>
    <w:p>
      <w:pPr>
        <w:spacing w:after="160" w:line="300"/>
        <w:jc w:val="both"/>
      </w:pPr>
      <w:r>
        <w:rPr>
          <w:rFonts w:ascii="Calibri" w:cs="Calibri" w:eastAsia="Calibri" w:hAnsi="Calibri"/>
          <w:sz w:val="22"/>
          <w:szCs w:val="22"/>
        </w:rPr>
        <w:t xml:space="preserve">Iraqi businesses may understand AI conceptually but be unwilling to pay for it in the first months of the company’s operation, whether due to budget constraints, low trust in a newly established company, or simple unfamiliarity with the value. Severity is high, probability is moderate to high.</w:t>
      </w:r>
    </w:p>
    <w:p>
      <w:pPr>
        <w:spacing w:after="160" w:line="300"/>
        <w:jc w:val="both"/>
      </w:pPr>
      <w:r>
        <w:rPr>
          <w:rFonts w:ascii="Calibri" w:cs="Calibri" w:eastAsia="Calibri" w:hAnsi="Calibri"/>
          <w:sz w:val="22"/>
          <w:szCs w:val="22"/>
        </w:rPr>
        <w:t xml:space="preserve">The free pilot strategy described in Phase 8 exists specifically to address this risk, removing financial risk from the first client decision and generating documented results that transform subsequent sales. Beyond this, the financial plan budgets for six months of limited revenue rather than assuming immediate client acquisition, which means slow adoption does not threaten operational continuity within the planned capital runway. The emphasis on case study development in the first quarter ensures that even if early revenue is low, the assets being built make later revenue more achievable.</w:t>
      </w:r>
    </w:p>
    <w:p>
      <w:pPr>
        <w:pStyle w:val="Heading3"/>
        <w:spacing w:after="120" w:before="200"/>
      </w:pPr>
      <w:r>
        <w:rPr>
          <w:rFonts w:ascii="Calibri" w:cs="Calibri" w:eastAsia="Calibri" w:hAnsi="Calibri"/>
          <w:b/>
          <w:bCs/>
          <w:color w:val="1F4E79"/>
          <w:sz w:val="24"/>
          <w:szCs w:val="24"/>
        </w:rPr>
        <w:t xml:space="preserve">Risk: A well-funded competitor entering the market</w:t>
      </w:r>
    </w:p>
    <w:p>
      <w:pPr>
        <w:spacing w:after="160" w:line="300"/>
        <w:jc w:val="both"/>
      </w:pPr>
      <w:r>
        <w:rPr>
          <w:rFonts w:ascii="Calibri" w:cs="Calibri" w:eastAsia="Calibri" w:hAnsi="Calibri"/>
          <w:sz w:val="22"/>
          <w:szCs w:val="22"/>
        </w:rPr>
        <w:t xml:space="preserve">A larger regional company, a foreign AI firm, or a well-funded local competitor could emerge and attempt to undercut or outscale the company. Severity is moderate, probability is low in year one but increases over time as the market matures.</w:t>
      </w:r>
    </w:p>
    <w:p>
      <w:pPr>
        <w:spacing w:after="160" w:line="300"/>
        <w:jc w:val="both"/>
      </w:pPr>
      <w:r>
        <w:rPr>
          <w:rFonts w:ascii="Calibri" w:cs="Calibri" w:eastAsia="Calibri" w:hAnsi="Calibri"/>
          <w:sz w:val="22"/>
          <w:szCs w:val="22"/>
        </w:rPr>
        <w:t xml:space="preserve">The defense is the depth of local relationships and the accumulated switching costs that custom solutions create. A company in Dubai cannot sit across the table from an Iraqi factory owner, speak his dialect, understand his operational reality, and return his phone call the same morning. Clients are locked into multi-month retainer agreements as early as possible, which creates natural renewal moments where relationship quality matters. Most importantly, once a business runs its entire inventory, human resources, client communication, and operational reporting through custom systems built by the company, the switching cost becomes enormous — a ten percent price difference from a competitor will not overcome the friction of switching, and the relationship compounds year over year.</w:t>
      </w:r>
    </w:p>
    <w:p>
      <w:pPr>
        <w:pStyle w:val="Heading3"/>
        <w:spacing w:after="120" w:before="200"/>
      </w:pPr>
      <w:r>
        <w:rPr>
          <w:rFonts w:ascii="Calibri" w:cs="Calibri" w:eastAsia="Calibri" w:hAnsi="Calibri"/>
          <w:b/>
          <w:bCs/>
          <w:color w:val="1F4E79"/>
          <w:sz w:val="24"/>
          <w:szCs w:val="24"/>
        </w:rPr>
        <w:t xml:space="preserve">Risk: Commoditization pressure from cheap or free tools</w:t>
      </w:r>
    </w:p>
    <w:p>
      <w:pPr>
        <w:spacing w:after="160" w:line="300"/>
        <w:jc w:val="both"/>
      </w:pPr>
      <w:r>
        <w:rPr>
          <w:rFonts w:ascii="Calibri" w:cs="Calibri" w:eastAsia="Calibri" w:hAnsi="Calibri"/>
          <w:sz w:val="22"/>
          <w:szCs w:val="22"/>
        </w:rPr>
        <w:t xml:space="preserve">As AI tools become more accessible globally, clients may ask why they should pay for custom solutions when free or cheap alternatives exist. Severity is moderate, probability is growing over time.</w:t>
      </w:r>
    </w:p>
    <w:p>
      <w:pPr>
        <w:spacing w:after="160" w:line="300"/>
        <w:jc w:val="both"/>
      </w:pPr>
      <w:r>
        <w:rPr>
          <w:rFonts w:ascii="Calibri" w:cs="Calibri" w:eastAsia="Calibri" w:hAnsi="Calibri"/>
          <w:sz w:val="22"/>
          <w:szCs w:val="22"/>
        </w:rPr>
        <w:t xml:space="preserve">The response is the categorical distinction between generic and specific. Free tools solve generic problems, and the company’s value is in the specific, messy reality of particular Iraqi businesses. A pharmacy in Baghdad does not need a generic chatbot; it needs one trained on its product catalog, responsive in Iraqi Arabic, integrated with its ordering workflow, and maintained by someone reachable by phone. That depth of solution is structurally beyond what generic tools can deliver, and this distinction is reinforced in every client conversation.</w:t>
      </w:r>
    </w:p>
    <w:p>
      <w:pPr>
        <w:pStyle w:val="Heading2"/>
        <w:spacing w:after="160" w:before="280"/>
      </w:pPr>
      <w:r>
        <w:rPr>
          <w:rFonts w:ascii="Calibri" w:cs="Calibri" w:eastAsia="Calibri" w:hAnsi="Calibri"/>
          <w:b/>
          <w:bCs/>
          <w:color w:val="2E75B6"/>
          <w:sz w:val="28"/>
          <w:szCs w:val="28"/>
        </w:rPr>
        <w:t xml:space="preserve">9.4 Team Risks</w:t>
      </w:r>
    </w:p>
    <w:p>
      <w:pPr>
        <w:pStyle w:val="Heading3"/>
        <w:spacing w:after="120" w:before="200"/>
      </w:pPr>
      <w:r>
        <w:rPr>
          <w:rFonts w:ascii="Calibri" w:cs="Calibri" w:eastAsia="Calibri" w:hAnsi="Calibri"/>
          <w:b/>
          <w:bCs/>
          <w:color w:val="1F4E79"/>
          <w:sz w:val="24"/>
          <w:szCs w:val="24"/>
        </w:rPr>
        <w:t xml:space="preserve">Risk: A key team member departing after training</w:t>
      </w:r>
    </w:p>
    <w:p>
      <w:pPr>
        <w:spacing w:after="160" w:line="300"/>
        <w:jc w:val="both"/>
      </w:pPr>
      <w:r>
        <w:rPr>
          <w:rFonts w:ascii="Calibri" w:cs="Calibri" w:eastAsia="Calibri" w:hAnsi="Calibri"/>
          <w:sz w:val="22"/>
          <w:szCs w:val="22"/>
        </w:rPr>
        <w:t xml:space="preserve">Three to six months of training investment in a senior team member could be followed by their departure for a better offer from a larger company or for independent freelance work. Severity is high, probability is moderate, and the impact of the worst instance — the Tech Lead departing in month nine — would be serious.</w:t>
      </w:r>
    </w:p>
    <w:p>
      <w:pPr>
        <w:spacing w:after="160" w:line="300"/>
        <w:jc w:val="both"/>
      </w:pPr>
      <w:r>
        <w:rPr>
          <w:rFonts w:ascii="Calibri" w:cs="Calibri" w:eastAsia="Calibri" w:hAnsi="Calibri"/>
          <w:sz w:val="22"/>
          <w:szCs w:val="22"/>
        </w:rPr>
        <w:t xml:space="preserve">Mitigation operates on three levels simultaneously. Financial alignment through the profit-share arrangement from month six and the equity conversion at month twelve creates genuine wealth-building incentives that competitive employment offers cannot easily match. Knowledge documentation ensures that critical information never sits only in one person’s head; every system, every codebase, every client configuration is documented to a standard where any capable team member can rebuild it. Client relationship structure ensures that no single team member owns a client relationship; the Sales Representative and General Manager maintain direct relationships with all significant clients alongside the technical lead on each project. Together, these three layers mean that a departure, while disruptive, does not threaten the business fundamentally.</w:t>
      </w:r>
    </w:p>
    <w:p>
      <w:pPr>
        <w:pStyle w:val="Heading3"/>
        <w:spacing w:after="120" w:before="200"/>
      </w:pPr>
      <w:r>
        <w:rPr>
          <w:rFonts w:ascii="Calibri" w:cs="Calibri" w:eastAsia="Calibri" w:hAnsi="Calibri"/>
          <w:b/>
          <w:bCs/>
          <w:color w:val="1F4E79"/>
          <w:sz w:val="24"/>
          <w:szCs w:val="24"/>
        </w:rPr>
        <w:t xml:space="preserve">Risk: Team underperformance on early projects</w:t>
      </w:r>
    </w:p>
    <w:p>
      <w:pPr>
        <w:spacing w:after="160" w:line="300"/>
        <w:jc w:val="both"/>
      </w:pPr>
      <w:r>
        <w:rPr>
          <w:rFonts w:ascii="Calibri" w:cs="Calibri" w:eastAsia="Calibri" w:hAnsi="Calibri"/>
          <w:sz w:val="22"/>
          <w:szCs w:val="22"/>
        </w:rPr>
        <w:t xml:space="preserve">The team is young and learning, and early projects may take longer than projected, cost more to deliver than anticipated, or disappoint clients in ways that damage the company’s reputation. Severity is high, probability is moderate particularly in months three and four.</w:t>
      </w:r>
    </w:p>
    <w:p>
      <w:pPr>
        <w:spacing w:after="160" w:line="300"/>
        <w:jc w:val="both"/>
      </w:pPr>
      <w:r>
        <w:rPr>
          <w:rFonts w:ascii="Calibri" w:cs="Calibri" w:eastAsia="Calibri" w:hAnsi="Calibri"/>
          <w:sz w:val="22"/>
          <w:szCs w:val="22"/>
        </w:rPr>
        <w:t xml:space="preserve">The first two months of each team member’s tenure are dedicated entirely to internal practice projects before any client work, as described in Phase 2. First client engagements are deliberately small and low-stakes — a website, a simple chatbot, a focused automation — before the team attempts complex ERP or camera AI deployments. Delivery timelines include buffers sufficient to absorb unexpected complications. The Tech Lead conducts formal quality review on every deliverable before it leaves the office. And proactive communication with clients about any emerging delays — rather than silence followed by a missed deadline — preserves client relationships even when execution is imperfect.</w:t>
      </w:r>
    </w:p>
    <w:p>
      <w:pPr>
        <w:pStyle w:val="Heading3"/>
        <w:spacing w:after="120" w:before="200"/>
      </w:pPr>
      <w:r>
        <w:rPr>
          <w:rFonts w:ascii="Calibri" w:cs="Calibri" w:eastAsia="Calibri" w:hAnsi="Calibri"/>
          <w:b/>
          <w:bCs/>
          <w:color w:val="1F4E79"/>
          <w:sz w:val="24"/>
          <w:szCs w:val="24"/>
        </w:rPr>
        <w:t xml:space="preserve">Risk: Internal conflict among team members or with investors</w:t>
      </w:r>
    </w:p>
    <w:p>
      <w:pPr>
        <w:spacing w:after="160" w:line="300"/>
        <w:jc w:val="both"/>
      </w:pPr>
      <w:r>
        <w:rPr>
          <w:rFonts w:ascii="Calibri" w:cs="Calibri" w:eastAsia="Calibri" w:hAnsi="Calibri"/>
          <w:sz w:val="22"/>
          <w:szCs w:val="22"/>
        </w:rPr>
        <w:t xml:space="preserve">Five young professionals working in a small shared space under commercial pressure, combined with investors who have financial interests, create conditions where conflict is possible. Severity is moderate, probability is low if governance is established proactively but increases significantly if issues are allowed to develop.</w:t>
      </w:r>
    </w:p>
    <w:p>
      <w:pPr>
        <w:spacing w:after="160" w:line="300"/>
        <w:jc w:val="both"/>
      </w:pPr>
      <w:r>
        <w:rPr>
          <w:rFonts w:ascii="Calibri" w:cs="Calibri" w:eastAsia="Calibri" w:hAnsi="Calibri"/>
          <w:sz w:val="22"/>
          <w:szCs w:val="22"/>
        </w:rPr>
        <w:t xml:space="preserve">Clear behavioral standards and communication norms are established on the first day and reinforced consistently. The weekly Sunday team meeting provides a structured, non-confrontational context in which issues can surface early. The monthly financial report and quarterly distribution process keeps investor communication formal and transparent, eliminating the ambiguity that typically causes investor disputes. The investment agreement’s decision-making table defines authority clearly, so that when disagreements arise, the answer to “who decides” is already established rather than negotiated in the middle of a dispute.</w:t>
      </w:r>
    </w:p>
    <w:p>
      <w:pPr>
        <w:pStyle w:val="Heading2"/>
        <w:spacing w:after="160" w:before="280"/>
      </w:pPr>
      <w:r>
        <w:rPr>
          <w:rFonts w:ascii="Calibri" w:cs="Calibri" w:eastAsia="Calibri" w:hAnsi="Calibri"/>
          <w:b/>
          <w:bCs/>
          <w:color w:val="2E75B6"/>
          <w:sz w:val="28"/>
          <w:szCs w:val="28"/>
        </w:rPr>
        <w:t xml:space="preserve">9.5 Financial Risks</w:t>
      </w:r>
    </w:p>
    <w:p>
      <w:pPr>
        <w:pStyle w:val="Heading3"/>
        <w:spacing w:after="120" w:before="200"/>
      </w:pPr>
      <w:r>
        <w:rPr>
          <w:rFonts w:ascii="Calibri" w:cs="Calibri" w:eastAsia="Calibri" w:hAnsi="Calibri"/>
          <w:b/>
          <w:bCs/>
          <w:color w:val="1F4E79"/>
          <w:sz w:val="24"/>
          <w:szCs w:val="24"/>
        </w:rPr>
        <w:t xml:space="preserve">Risk: Capital depletion before break-even</w:t>
      </w:r>
    </w:p>
    <w:p>
      <w:pPr>
        <w:spacing w:after="160" w:line="300"/>
        <w:jc w:val="both"/>
      </w:pPr>
      <w:r>
        <w:rPr>
          <w:rFonts w:ascii="Calibri" w:cs="Calibri" w:eastAsia="Calibri" w:hAnsi="Calibri"/>
          <w:sz w:val="22"/>
          <w:szCs w:val="22"/>
        </w:rPr>
        <w:t xml:space="preserve">If client acquisition takes longer than projected, the business could exhaust its operating capital before reaching self-sustaining revenue. Severity is high, probability is low to moderate given the planning buffer but real under adverse scenarios.</w:t>
      </w:r>
    </w:p>
    <w:p>
      <w:pPr>
        <w:spacing w:after="160" w:line="300"/>
        <w:jc w:val="both"/>
      </w:pPr>
      <w:r>
        <w:rPr>
          <w:rFonts w:ascii="Calibri" w:cs="Calibri" w:eastAsia="Calibri" w:hAnsi="Calibri"/>
          <w:sz w:val="22"/>
          <w:szCs w:val="22"/>
        </w:rPr>
        <w:t xml:space="preserve">The thirty-five-hundred-dollar contingency reserve provides the first buffer. The cost structure is lean enough that a single medium ERP project of three to five thousand dollars covers more than one month of fixed operating costs, which means incremental revenue has significant impact on runway. A clear financial trigger governs crisis response: if monthly revenue has not reached fifteen hundred dollars by month four, an immediate cost review is activated. This review examines which subscriptions can be paused, whether any salary can be temporarily restructured in exchange for additional equity, and whether any discretionary expenses can be deferred. Having this plan prepared in advance rather than composed in a crisis is the difference between a managed adjustment and panic.</w:t>
      </w:r>
    </w:p>
    <w:p>
      <w:pPr>
        <w:pStyle w:val="Heading3"/>
        <w:spacing w:after="120" w:before="200"/>
      </w:pPr>
      <w:r>
        <w:rPr>
          <w:rFonts w:ascii="Calibri" w:cs="Calibri" w:eastAsia="Calibri" w:hAnsi="Calibri"/>
          <w:b/>
          <w:bCs/>
          <w:color w:val="1F4E79"/>
          <w:sz w:val="24"/>
          <w:szCs w:val="24"/>
        </w:rPr>
        <w:t xml:space="preserve">Risk: Client non-payment after project delivery</w:t>
      </w:r>
    </w:p>
    <w:p>
      <w:pPr>
        <w:spacing w:after="160" w:line="300"/>
        <w:jc w:val="both"/>
      </w:pPr>
      <w:r>
        <w:rPr>
          <w:rFonts w:ascii="Calibri" w:cs="Calibri" w:eastAsia="Calibri" w:hAnsi="Calibri"/>
          <w:sz w:val="22"/>
          <w:szCs w:val="22"/>
        </w:rPr>
        <w:t xml:space="preserve">Payment delays and disputes are a documented feature of Iraqi business relationships, particularly with larger clients who operate through procurement processes. Severity is moderate, probability is moderate.</w:t>
      </w:r>
    </w:p>
    <w:p>
      <w:pPr>
        <w:spacing w:after="160" w:line="300"/>
        <w:jc w:val="both"/>
      </w:pPr>
      <w:r>
        <w:rPr>
          <w:rFonts w:ascii="Calibri" w:cs="Calibri" w:eastAsia="Calibri" w:hAnsi="Calibri"/>
          <w:sz w:val="22"/>
          <w:szCs w:val="22"/>
        </w:rPr>
        <w:t xml:space="preserve">A strict payment policy is established from the first project and never deviated from. Fifty percent is required upfront before any work begins, and fifty percent on delivery before handover of access or final files. For projects above three thousand dollars, a three-stage structure applies: forty percent at signing, thirty percent at mid-project review, and thirty percent at final delivery. Retainer clients pay on the first of each month, and support access is paused after seven days of non-payment. These terms are stated in writing in every engagement agreement, signed by the client before work begins, and enforced without exception regardless of client size or relationship strength. The rare client who objects to these standard commercial terms is almost always a client whose payment would have been troublesome regardless, and losing them is not a loss.</w:t>
      </w:r>
    </w:p>
    <w:p>
      <w:pPr>
        <w:pStyle w:val="Heading2"/>
        <w:spacing w:after="160" w:before="280"/>
      </w:pPr>
      <w:r>
        <w:rPr>
          <w:rFonts w:ascii="Calibri" w:cs="Calibri" w:eastAsia="Calibri" w:hAnsi="Calibri"/>
          <w:b/>
          <w:bCs/>
          <w:color w:val="2E75B6"/>
          <w:sz w:val="28"/>
          <w:szCs w:val="28"/>
        </w:rPr>
        <w:t xml:space="preserve">9.6 Iraq-Specific Risks</w:t>
      </w:r>
    </w:p>
    <w:p>
      <w:pPr>
        <w:pStyle w:val="Heading3"/>
        <w:spacing w:after="120" w:before="200"/>
      </w:pPr>
      <w:r>
        <w:rPr>
          <w:rFonts w:ascii="Calibri" w:cs="Calibri" w:eastAsia="Calibri" w:hAnsi="Calibri"/>
          <w:b/>
          <w:bCs/>
          <w:color w:val="1F4E79"/>
          <w:sz w:val="24"/>
          <w:szCs w:val="24"/>
        </w:rPr>
        <w:t xml:space="preserve">Risk: Extended power outages exceeding infrastructure capacity</w:t>
      </w:r>
    </w:p>
    <w:p>
      <w:pPr>
        <w:spacing w:after="160" w:line="300"/>
        <w:jc w:val="both"/>
      </w:pPr>
      <w:r>
        <w:rPr>
          <w:rFonts w:ascii="Calibri" w:cs="Calibri" w:eastAsia="Calibri" w:hAnsi="Calibri"/>
          <w:sz w:val="22"/>
          <w:szCs w:val="22"/>
        </w:rPr>
        <w:t xml:space="preserve">Summer conditions in Iraq can produce electricity rationing beyond what UPS systems and typical generators can sustain. Severity is moderate, probability is seasonal but effectively certain during summer months.</w:t>
      </w:r>
    </w:p>
    <w:p>
      <w:pPr>
        <w:spacing w:after="160" w:line="300"/>
        <w:jc w:val="both"/>
      </w:pPr>
      <w:r>
        <w:rPr>
          <w:rFonts w:ascii="Calibri" w:cs="Calibri" w:eastAsia="Calibri" w:hAnsi="Calibri"/>
          <w:sz w:val="22"/>
          <w:szCs w:val="22"/>
        </w:rPr>
        <w:t xml:space="preserve">The solar inverter system specified in Phase 5 addresses extended outages directly, with battery capacity sufficient to operate the office for several hours beyond grid-dependent businesses. Work schedules are adapted during peak summer periods to concentrate critical activity — client deliveries, code commits, backups — during morning hours when grid stability is typically best. Client deployments always run on the client’s own UPS infrastructure, separate from office infrastructure, so power issues on the company side never affect client production systems.</w:t>
      </w:r>
    </w:p>
    <w:p>
      <w:pPr>
        <w:pStyle w:val="Heading3"/>
        <w:spacing w:after="120" w:before="200"/>
      </w:pPr>
      <w:r>
        <w:rPr>
          <w:rFonts w:ascii="Calibri" w:cs="Calibri" w:eastAsia="Calibri" w:hAnsi="Calibri"/>
          <w:b/>
          <w:bCs/>
          <w:color w:val="1F4E79"/>
          <w:sz w:val="24"/>
          <w:szCs w:val="24"/>
        </w:rPr>
        <w:t xml:space="preserve">Risk: Internet connectivity disruption</w:t>
      </w:r>
    </w:p>
    <w:p>
      <w:pPr>
        <w:spacing w:after="160" w:line="300"/>
        <w:jc w:val="both"/>
      </w:pPr>
      <w:r>
        <w:rPr>
          <w:rFonts w:ascii="Calibri" w:cs="Calibri" w:eastAsia="Calibri" w:hAnsi="Calibri"/>
          <w:sz w:val="22"/>
          <w:szCs w:val="22"/>
        </w:rPr>
        <w:t xml:space="preserve">Although fiber service is now fast and generally reliable, Iraq’s internet infrastructure has documented vulnerabilities to regional disruption, and a twenty-four to forty-eight hour outage during a critical project phase could produce significant delays. Severity is moderate, probability is low but real.</w:t>
      </w:r>
    </w:p>
    <w:p>
      <w:pPr>
        <w:spacing w:after="160" w:line="300"/>
        <w:jc w:val="both"/>
      </w:pPr>
      <w:r>
        <w:rPr>
          <w:rFonts w:ascii="Calibri" w:cs="Calibri" w:eastAsia="Calibri" w:hAnsi="Calibri"/>
          <w:sz w:val="22"/>
          <w:szCs w:val="22"/>
        </w:rPr>
        <w:t xml:space="preserve">The backup 4G router handles most short disruptions seamlessly. For longer outages, the company’s offline-first architecture is a structural advantage: core AI systems, models, and development environments run locally and do not require internet to function. Critical cloud-dependent tools are identified, and their data is synchronized locally at the start of each working day. This risk also reinforces why positioning offline AI capability as a feature is genuinely valuable — the company’s systems keep running when cloud services do not, and this is a meaningful benefit to clients who understand it.</w:t>
      </w:r>
    </w:p>
    <w:p>
      <w:pPr>
        <w:pStyle w:val="Heading3"/>
        <w:spacing w:after="120" w:before="200"/>
      </w:pPr>
      <w:r>
        <w:rPr>
          <w:rFonts w:ascii="Calibri" w:cs="Calibri" w:eastAsia="Calibri" w:hAnsi="Calibri"/>
          <w:b/>
          <w:bCs/>
          <w:color w:val="1F4E79"/>
          <w:sz w:val="24"/>
          <w:szCs w:val="24"/>
        </w:rPr>
        <w:t xml:space="preserve">Risk: Regulatory changes affecting AI deployment</w:t>
      </w:r>
    </w:p>
    <w:p>
      <w:pPr>
        <w:spacing w:after="160" w:line="300"/>
        <w:jc w:val="both"/>
      </w:pPr>
      <w:r>
        <w:rPr>
          <w:rFonts w:ascii="Calibri" w:cs="Calibri" w:eastAsia="Calibri" w:hAnsi="Calibri"/>
          <w:sz w:val="22"/>
          <w:szCs w:val="22"/>
        </w:rPr>
        <w:t xml:space="preserve">Iraq’s regulatory environment around technology, data, and AI is still developing, and future legislation could affect how AI systems are deployed, particularly in sensitive sectors. Severity is low in the current environment, probability is increasing over a two to three year horizon.</w:t>
      </w:r>
    </w:p>
    <w:p>
      <w:pPr>
        <w:spacing w:after="160" w:line="300"/>
        <w:jc w:val="both"/>
      </w:pPr>
      <w:r>
        <w:rPr>
          <w:rFonts w:ascii="Calibri" w:cs="Calibri" w:eastAsia="Calibri" w:hAnsi="Calibri"/>
          <w:sz w:val="22"/>
          <w:szCs w:val="22"/>
        </w:rPr>
        <w:t xml:space="preserve">Developments in Iraq’s telecommunications and technology regulatory landscape are monitored continuously. Client contracts include a clause allowing system adjustments if regulatory requirements change, which protects both parties from being locked into non-compliant configurations. The company’s offline, privacy-first architecture is the safest possible position in any likely future regulatory environment: data sovereignty is universally favored by governments, and keeping sensitive data within national borders complies with the most common regulatory direction.</w:t>
      </w:r>
    </w:p>
    <w:p>
      <w:pPr>
        <w:pStyle w:val="Heading2"/>
        <w:spacing w:after="160" w:before="280"/>
      </w:pPr>
      <w:r>
        <w:rPr>
          <w:rFonts w:ascii="Calibri" w:cs="Calibri" w:eastAsia="Calibri" w:hAnsi="Calibri"/>
          <w:b/>
          <w:bCs/>
          <w:color w:val="2E75B6"/>
          <w:sz w:val="28"/>
          <w:szCs w:val="28"/>
        </w:rPr>
        <w:t xml:space="preserve">9.7 Consolidated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400"/>
        <w:gridCol w:w="1600"/>
        <w:gridCol w:w="2860"/>
      </w:tblGrid>
      <w:tr>
        <w:trPr>
          <w:tblHeader/>
        </w:trPr>
        <w:tc>
          <w:tcPr>
            <w:tcW w:type="dxa" w:w="35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Risk</w:t>
            </w:r>
          </w:p>
        </w:tc>
        <w:tc>
          <w:tcPr>
            <w:tcW w:type="dxa" w:w="14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Severity</w:t>
            </w:r>
          </w:p>
        </w:tc>
        <w:tc>
          <w:tcPr>
            <w:tcW w:type="dxa" w:w="16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Probability</w:t>
            </w:r>
          </w:p>
        </w:tc>
        <w:tc>
          <w:tcPr>
            <w:tcW w:type="dxa" w:w="286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Mitigation Status</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Team learning cannot keep pace with field</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High</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Certain</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Continuous learning embedded structurally</w:t>
            </w:r>
          </w:p>
        </w:tc>
      </w:tr>
      <w:tr>
        <w:tc>
          <w:tcPr>
            <w:tcW w:type="dxa" w:w="3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Hardware failure during engagement</w:t>
            </w:r>
          </w:p>
        </w:tc>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High</w:t>
            </w:r>
          </w:p>
        </w:tc>
        <w:tc>
          <w:tcPr>
            <w:tcW w:type="dxa" w:w="1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Moderate</w:t>
            </w:r>
          </w:p>
        </w:tc>
        <w:tc>
          <w:tcPr>
            <w:tcW w:type="dxa" w:w="28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UPS, spare workstation, backups, delivery buffers</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Offline AI underperforms expectations</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Moderate</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Moderate</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Honest expectation-setting; cloud tier option</w:t>
            </w:r>
          </w:p>
        </w:tc>
      </w:tr>
      <w:tr>
        <w:tc>
          <w:tcPr>
            <w:tcW w:type="dxa" w:w="3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Slow client adoption</w:t>
            </w:r>
          </w:p>
        </w:tc>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High</w:t>
            </w:r>
          </w:p>
        </w:tc>
        <w:tc>
          <w:tcPr>
            <w:tcW w:type="dxa" w:w="1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Moderate-High</w:t>
            </w:r>
          </w:p>
        </w:tc>
        <w:tc>
          <w:tcPr>
            <w:tcW w:type="dxa" w:w="28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Free pilot strategy; six-month runway</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Competitor enters market</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Moderate</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Low year 1</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Deep local relationships; switching costs</w:t>
            </w:r>
          </w:p>
        </w:tc>
      </w:tr>
      <w:tr>
        <w:tc>
          <w:tcPr>
            <w:tcW w:type="dxa" w:w="3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Commoditization from cheap tools</w:t>
            </w:r>
          </w:p>
        </w:tc>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Moderate</w:t>
            </w:r>
          </w:p>
        </w:tc>
        <w:tc>
          <w:tcPr>
            <w:tcW w:type="dxa" w:w="1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Growing</w:t>
            </w:r>
          </w:p>
        </w:tc>
        <w:tc>
          <w:tcPr>
            <w:tcW w:type="dxa" w:w="28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Custom solutions beyond generic tools</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Key team member departure</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High</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Moderate</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Profit-share, documentation, shared relationships</w:t>
            </w:r>
          </w:p>
        </w:tc>
      </w:tr>
      <w:tr>
        <w:tc>
          <w:tcPr>
            <w:tcW w:type="dxa" w:w="3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Team underperformance</w:t>
            </w:r>
          </w:p>
        </w:tc>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High</w:t>
            </w:r>
          </w:p>
        </w:tc>
        <w:tc>
          <w:tcPr>
            <w:tcW w:type="dxa" w:w="1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Moderate early</w:t>
            </w:r>
          </w:p>
        </w:tc>
        <w:tc>
          <w:tcPr>
            <w:tcW w:type="dxa" w:w="28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Practice projects; delivery buffers; Tech Lead QA</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Capital depletion before break-even</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High</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Low-Moderate</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Reserve buffer; trigger-based cost review</w:t>
            </w:r>
          </w:p>
        </w:tc>
      </w:tr>
      <w:tr>
        <w:tc>
          <w:tcPr>
            <w:tcW w:type="dxa" w:w="3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Client non-payment</w:t>
            </w:r>
          </w:p>
        </w:tc>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Moderate</w:t>
            </w:r>
          </w:p>
        </w:tc>
        <w:tc>
          <w:tcPr>
            <w:tcW w:type="dxa" w:w="1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Moderate</w:t>
            </w:r>
          </w:p>
        </w:tc>
        <w:tc>
          <w:tcPr>
            <w:tcW w:type="dxa" w:w="28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Strict upfront-payment policy enforced</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Power outages beyond capacity</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Moderate</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Seasonal</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Solar inverter; adapted work schedules</w:t>
            </w:r>
          </w:p>
        </w:tc>
      </w:tr>
      <w:tr>
        <w:tc>
          <w:tcPr>
            <w:tcW w:type="dxa" w:w="3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Internet disruption</w:t>
            </w:r>
          </w:p>
        </w:tc>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Moderate</w:t>
            </w:r>
          </w:p>
        </w:tc>
        <w:tc>
          <w:tcPr>
            <w:tcW w:type="dxa" w:w="1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Low</w:t>
            </w:r>
          </w:p>
        </w:tc>
        <w:tc>
          <w:tcPr>
            <w:tcW w:type="dxa" w:w="28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4G backup; offline-first architecture</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Regulatory changes</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Low</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Growing</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Offline architecture pre-complies; contract clauses</w:t>
            </w:r>
          </w:p>
        </w:tc>
      </w:tr>
    </w:tbl>
    <w:p>
      <w:pPr>
        <w:pStyle w:val="Heading1"/>
        <w:pageBreakBefore/>
        <w:spacing w:after="240" w:before="400"/>
      </w:pPr>
      <w:r>
        <w:rPr>
          <w:rFonts w:ascii="Calibri" w:cs="Calibri" w:eastAsia="Calibri" w:hAnsi="Calibri"/>
          <w:b/>
          <w:bCs/>
          <w:color w:val="1F4E79"/>
          <w:sz w:val="36"/>
          <w:szCs w:val="36"/>
        </w:rPr>
        <w:t xml:space="preserve">Phase 10 — Growth Plan</w:t>
      </w:r>
    </w:p>
    <w:p>
      <w:pPr>
        <w:pBdr>
          <w:left w:val="single" w:color="2E75B6" w:sz="24" w:space="12"/>
        </w:pBdr>
        <w:spacing w:after="160" w:before="160" w:line="300"/>
        <w:ind w:left="360" w:right="360"/>
      </w:pPr>
      <w:r>
        <w:rPr>
          <w:rFonts w:ascii="Calibri" w:cs="Calibri" w:eastAsia="Calibri" w:hAnsi="Calibri"/>
          <w:i/>
          <w:iCs/>
          <w:color w:val="2E75B6"/>
          <w:sz w:val="22"/>
          <w:szCs w:val="22"/>
        </w:rPr>
        <w:t xml:space="preserve">The twenty-four month roadmap from survival to scale: stabilization, revenue growth, geographic expansion, new services, and the team structure that supports each stage.</w:t>
      </w:r>
    </w:p>
    <w:p>
      <w:pPr>
        <w:pStyle w:val="Heading2"/>
        <w:spacing w:after="160" w:before="280"/>
      </w:pPr>
      <w:r>
        <w:rPr>
          <w:rFonts w:ascii="Calibri" w:cs="Calibri" w:eastAsia="Calibri" w:hAnsi="Calibri"/>
          <w:b/>
          <w:bCs/>
          <w:color w:val="2E75B6"/>
          <w:sz w:val="28"/>
          <w:szCs w:val="28"/>
        </w:rPr>
        <w:t xml:space="preserve">10.1 Growth Philosophy</w:t>
      </w:r>
    </w:p>
    <w:p>
      <w:pPr>
        <w:spacing w:after="160" w:line="300"/>
        <w:jc w:val="both"/>
      </w:pPr>
      <w:r>
        <w:rPr>
          <w:rFonts w:ascii="Calibri" w:cs="Calibri" w:eastAsia="Calibri" w:hAnsi="Calibri"/>
          <w:sz w:val="22"/>
          <w:szCs w:val="22"/>
        </w:rPr>
        <w:t xml:space="preserve">Most early-stage businesses fail not from lack of ambition but from premature scaling. The growth plan for this company is therefore deliberately sequential rather than parallel. Before adding a new city, the first city must be stable. Before adding a new service category, the existing portfolio must be delivering consistently. Before growing the team, the current team must be operating at full productivity. Each milestone in the growth plan is conditional on the previous milestone being genuinely achieved, verified through specific metrics rather than impressions, and every expansion decision is reviewed against whether the foundation for expansion actually exists.</w:t>
      </w:r>
    </w:p>
    <w:p>
      <w:pPr>
        <w:spacing w:after="160" w:line="300"/>
        <w:jc w:val="both"/>
      </w:pPr>
      <w:r>
        <w:rPr>
          <w:rFonts w:ascii="Calibri" w:cs="Calibri" w:eastAsia="Calibri" w:hAnsi="Calibri"/>
          <w:sz w:val="22"/>
          <w:szCs w:val="22"/>
        </w:rPr>
        <w:t xml:space="preserve">This discipline is particularly important in the Iraqi market, where the temptation to expand quickly when first results emerge is strong, and where the distance between cities, the differences in regional business culture, and the operational complications of multi-location operations are easy to underestimate. A company with one genuinely successful city generates substantially more long-term value than a company with three struggling ones, and the sequencing of this plan reflects that understanding.</w:t>
      </w:r>
    </w:p>
    <w:p>
      <w:pPr>
        <w:pStyle w:val="Heading2"/>
        <w:spacing w:after="160" w:before="280"/>
      </w:pPr>
      <w:r>
        <w:rPr>
          <w:rFonts w:ascii="Calibri" w:cs="Calibri" w:eastAsia="Calibri" w:hAnsi="Calibri"/>
          <w:b/>
          <w:bCs/>
          <w:color w:val="2E75B6"/>
          <w:sz w:val="28"/>
          <w:szCs w:val="28"/>
        </w:rPr>
        <w:t xml:space="preserve">10.2 Months 6 to 9: Stabilization Phase</w:t>
      </w:r>
    </w:p>
    <w:p>
      <w:pPr>
        <w:spacing w:after="160" w:line="300"/>
        <w:jc w:val="both"/>
      </w:pPr>
      <w:r>
        <w:rPr>
          <w:rFonts w:ascii="Calibri" w:cs="Calibri" w:eastAsia="Calibri" w:hAnsi="Calibri"/>
          <w:sz w:val="22"/>
          <w:szCs w:val="22"/>
        </w:rPr>
        <w:t xml:space="preserve">By the end of month six, the realistic benchmark is four to six delivered paid projects, two to three active retainer relationships, and monthly revenue at or above the three-thousand-dollar break-even level. If these benchmarks are not met, the priority through month nine is not growth but diagnosis. Why are projects taking longer than expected? Where is the sales pipeline breaking down? Which team members are performing and which are not? Addressing these questions honestly in months six through nine is far more valuable than attempting to force growth before the operational foundation is solid.</w:t>
      </w:r>
    </w:p>
    <w:p>
      <w:pPr>
        <w:spacing w:after="160" w:line="300"/>
        <w:jc w:val="both"/>
      </w:pPr>
      <w:r>
        <w:rPr>
          <w:rFonts w:ascii="Calibri" w:cs="Calibri" w:eastAsia="Calibri" w:hAnsi="Calibri"/>
          <w:sz w:val="22"/>
          <w:szCs w:val="22"/>
        </w:rPr>
        <w:t xml:space="preserve">Assuming the realistic trajectory is being achieved, four priorities define the stabilization phase. The first is systematic case study development, with every completed project documented thoroughly with quantified before-and-after results, client testimonials where permission allows, and specific metrics that can be cited in future sales conversations. Three strong case studies, ideally one each from the clinic, trading, and factory categories, become sales tools more powerful than any amount of marketing.</w:t>
      </w:r>
    </w:p>
    <w:p>
      <w:pPr>
        <w:spacing w:after="160" w:line="300"/>
        <w:jc w:val="both"/>
      </w:pPr>
      <w:r>
        <w:rPr>
          <w:rFonts w:ascii="Calibri" w:cs="Calibri" w:eastAsia="Calibri" w:hAnsi="Calibri"/>
          <w:sz w:val="22"/>
          <w:szCs w:val="22"/>
        </w:rPr>
        <w:t xml:space="preserve">The second priority is building the retainer base to a target of five active retainer clients generating combined monthly recurring revenue between eight hundred and fifteen hundred dollars. This floor of predictable income provides the financial stability that allows the team to invest time in larger, more ambitious projects without anxiety about meeting the next month’s payroll from yet-to-be-won new business.</w:t>
      </w:r>
    </w:p>
    <w:p>
      <w:pPr>
        <w:spacing w:after="160" w:line="300"/>
        <w:jc w:val="both"/>
      </w:pPr>
      <w:r>
        <w:rPr>
          <w:rFonts w:ascii="Calibri" w:cs="Calibri" w:eastAsia="Calibri" w:hAnsi="Calibri"/>
          <w:sz w:val="22"/>
          <w:szCs w:val="22"/>
        </w:rPr>
        <w:t xml:space="preserve">The third priority is product refinement based on accumulated delivery experience. The team will have learned substantially from first client engagements — which parts of the workflow take longer than expected, which technical approaches prove fragile, which client expectations are consistently misaligned — and months six through nine are the period for consolidating these lessons into refined internal processes, standardized templates, and delivery efficiencies that compound over time. A process that consumed forty hours to deliver in month three should consume twenty hours to deliver in month nine, and the difference is pure margin expansion.</w:t>
      </w:r>
    </w:p>
    <w:p>
      <w:pPr>
        <w:spacing w:after="160" w:line="300"/>
        <w:jc w:val="both"/>
      </w:pPr>
      <w:r>
        <w:rPr>
          <w:rFonts w:ascii="Calibri" w:cs="Calibri" w:eastAsia="Calibri" w:hAnsi="Calibri"/>
          <w:sz w:val="22"/>
          <w:szCs w:val="22"/>
        </w:rPr>
        <w:t xml:space="preserve">The fourth priority is the first team expansion, with recruitment of a junior developer or AI implementation assistant beginning in month seven. This role handles the repeatable implementation tasks that constitute a significant portion of project delivery, freeing senior team members to focus on architectural decisions, client-facing work, and complex problem-solving.</w:t>
      </w:r>
    </w:p>
    <w:p>
      <w:pPr>
        <w:pStyle w:val="Heading2"/>
        <w:spacing w:after="160" w:before="280"/>
      </w:pPr>
      <w:r>
        <w:rPr>
          <w:rFonts w:ascii="Calibri" w:cs="Calibri" w:eastAsia="Calibri" w:hAnsi="Calibri"/>
          <w:b/>
          <w:bCs/>
          <w:color w:val="2E75B6"/>
          <w:sz w:val="28"/>
          <w:szCs w:val="28"/>
        </w:rPr>
        <w:t xml:space="preserve">10.3 Months 9 to 12: Revenue Growth Phase</w:t>
      </w:r>
    </w:p>
    <w:p>
      <w:pPr>
        <w:spacing w:after="160" w:line="300"/>
        <w:jc w:val="both"/>
      </w:pPr>
      <w:r>
        <w:rPr>
          <w:rFonts w:ascii="Calibri" w:cs="Calibri" w:eastAsia="Calibri" w:hAnsi="Calibri"/>
          <w:sz w:val="22"/>
          <w:szCs w:val="22"/>
        </w:rPr>
        <w:t xml:space="preserve">By month nine, the business should be consistently cash-flow positive, and the focus shifts from stabilization to revenue acceleration within the existing market before any geographic expansion is considered.</w:t>
      </w:r>
    </w:p>
    <w:p>
      <w:pPr>
        <w:spacing w:after="160" w:line="300"/>
        <w:jc w:val="both"/>
      </w:pPr>
      <w:r>
        <w:rPr>
          <w:rFonts w:ascii="Calibri" w:cs="Calibri" w:eastAsia="Calibri" w:hAnsi="Calibri"/>
          <w:sz w:val="22"/>
          <w:szCs w:val="22"/>
        </w:rPr>
        <w:t xml:space="preserve">The flagship product strategy becomes central at this stage. Rather than continuing to offer a broad menu of services at varying scale, the team identifies the one or two services generating the highest revenue, strongest client satisfaction, and most repeatable delivery process. For most companies reaching this point, the identified flagships are the custom ERP offering and the offline camera monitoring system, both of which carry high ticket values and produce long-term retainer relationships. These become the products the company is externally known for, and sales messaging concentrates on them.</w:t>
      </w:r>
    </w:p>
    <w:p>
      <w:pPr>
        <w:spacing w:after="160" w:line="300"/>
        <w:jc w:val="both"/>
      </w:pPr>
      <w:r>
        <w:rPr>
          <w:rFonts w:ascii="Calibri" w:cs="Calibri" w:eastAsia="Calibri" w:hAnsi="Calibri"/>
          <w:sz w:val="22"/>
          <w:szCs w:val="22"/>
        </w:rPr>
        <w:t xml:space="preserve">Pricing is reviewed upward at month nine. The business will have established proof of results, growing reputation, and substantial delivery efficiency gains, all of which justify a meaningful price increase on new engagements. A twenty to thirty percent increase on standard project pricing is appropriate and is generally accepted by clients who have seen the quality of delivered work elsewhere in the market. Existing retainer clients are typically grandfathered at their original rates to preserve the relationship, with the new pricing applying only to new engagements.</w:t>
      </w:r>
    </w:p>
    <w:p>
      <w:pPr>
        <w:spacing w:after="160" w:line="300"/>
        <w:jc w:val="both"/>
      </w:pPr>
      <w:r>
        <w:rPr>
          <w:rFonts w:ascii="Calibri" w:cs="Calibri" w:eastAsia="Calibri" w:hAnsi="Calibri"/>
          <w:sz w:val="22"/>
          <w:szCs w:val="22"/>
        </w:rPr>
        <w:t xml:space="preserve">The target financial position at month twelve, on the realistic scenario, is monthly revenue in the twelve to fifteen thousand dollar range, retainer base of two to three thousand dollars per month, and a team of six to seven people operating at full productive capacity. If these numbers are being achieved, the business is ready to consider expansion into the second phase of its growth plan.</w:t>
      </w:r>
    </w:p>
    <w:p>
      <w:pPr>
        <w:pStyle w:val="Heading2"/>
        <w:spacing w:after="160" w:before="280"/>
      </w:pPr>
      <w:r>
        <w:rPr>
          <w:rFonts w:ascii="Calibri" w:cs="Calibri" w:eastAsia="Calibri" w:hAnsi="Calibri"/>
          <w:b/>
          <w:bCs/>
          <w:color w:val="2E75B6"/>
          <w:sz w:val="28"/>
          <w:szCs w:val="28"/>
        </w:rPr>
        <w:t xml:space="preserve">10.4 The Month 12 Strategic Review</w:t>
      </w:r>
    </w:p>
    <w:p>
      <w:pPr>
        <w:spacing w:after="160" w:line="300"/>
        <w:jc w:val="both"/>
      </w:pPr>
      <w:r>
        <w:rPr>
          <w:rFonts w:ascii="Calibri" w:cs="Calibri" w:eastAsia="Calibri" w:hAnsi="Calibri"/>
          <w:sz w:val="22"/>
          <w:szCs w:val="22"/>
        </w:rPr>
        <w:t xml:space="preserve">Month twelve is a formal checkpoint rather than a routine monthly meeting, and it is conducted with explicit structure rather than casually. A scheduled meeting with both investors and the full team addresses five specific questions using data rather than impression.</w:t>
      </w:r>
    </w:p>
    <w:p>
      <w:pPr>
        <w:spacing w:after="160" w:line="300"/>
        <w:jc w:val="both"/>
      </w:pPr>
      <w:r>
        <w:rPr>
          <w:rFonts w:ascii="Calibri" w:cs="Calibri" w:eastAsia="Calibri" w:hAnsi="Calibri"/>
          <w:sz w:val="22"/>
          <w:szCs w:val="22"/>
        </w:rPr>
        <w:t xml:space="preserve">Has the company recovered its initial investment, or is it on a credible path to recovery within the following six months? Is the team operating at the level required for the next phase of growth, or are there specific performance gaps that must be addressed first? Is the local market genuinely saturated, or is there substantial remaining demand that the company has not yet captured? Have specific clients expressed interest in the company expanding to other cities, or is expansion a purely speculative consideration? Does the team’s current skill set match the service roadmap for year two, or does expansion require specific new capabilities?</w:t>
      </w:r>
    </w:p>
    <w:p>
      <w:pPr>
        <w:spacing w:after="160" w:line="300"/>
        <w:jc w:val="both"/>
      </w:pPr>
      <w:r>
        <w:rPr>
          <w:rFonts w:ascii="Calibri" w:cs="Calibri" w:eastAsia="Calibri" w:hAnsi="Calibri"/>
          <w:sz w:val="22"/>
          <w:szCs w:val="22"/>
        </w:rPr>
        <w:t xml:space="preserve">Month twelve is also when the equity and profit-share commitments made in Phase 7 are formally executed. Top-performing team members receive their equity allocations from the team pool. The investment structure converts from its year-one profit-share arrangement to the formal equity ownership structure, with the documentation of the conversion registered legally. These actions are not administrative details; they signal to the team and to investors that the company is maturing and that commitments made at the beginning have been honored.</w:t>
      </w:r>
    </w:p>
    <w:p>
      <w:pPr>
        <w:pStyle w:val="Heading2"/>
        <w:spacing w:after="160" w:before="280"/>
      </w:pPr>
      <w:r>
        <w:rPr>
          <w:rFonts w:ascii="Calibri" w:cs="Calibri" w:eastAsia="Calibri" w:hAnsi="Calibri"/>
          <w:b/>
          <w:bCs/>
          <w:color w:val="2E75B6"/>
          <w:sz w:val="28"/>
          <w:szCs w:val="28"/>
        </w:rPr>
        <w:t xml:space="preserve">10.5 Months 12 to 18: Geographic Expansion</w:t>
      </w:r>
    </w:p>
    <w:p>
      <w:pPr>
        <w:spacing w:after="160" w:line="300"/>
        <w:jc w:val="both"/>
      </w:pPr>
      <w:r>
        <w:rPr>
          <w:rFonts w:ascii="Calibri" w:cs="Calibri" w:eastAsia="Calibri" w:hAnsi="Calibri"/>
          <w:sz w:val="22"/>
          <w:szCs w:val="22"/>
        </w:rPr>
        <w:t xml:space="preserve">Expansion to a second city occurs only when the first city is generating consistent, managed revenue that does not require the General Manager’s daily operational involvement. Specifically, the Tech Lead must be operating the first office effectively in the General Manager’s absence, because expansion requires the General Manager to invest substantial time in establishing the second location and this is not possible if day-to-day operations in city one still require constant oversight.</w:t>
      </w:r>
    </w:p>
    <w:p>
      <w:pPr>
        <w:spacing w:after="160" w:line="300"/>
        <w:jc w:val="both"/>
      </w:pPr>
      <w:r>
        <w:rPr>
          <w:rFonts w:ascii="Calibri" w:cs="Calibri" w:eastAsia="Calibri" w:hAnsi="Calibri"/>
          <w:sz w:val="22"/>
          <w:szCs w:val="22"/>
        </w:rPr>
        <w:t xml:space="preserve">The expansion model is deliberately lean rather than ambitious. Rather than opening a full office in the second city immediately, the approach begins by identifying one strong Sales Representative in that city, someone with existing business networks and relevant industry relationships, who generates leads remotely while project delivery is handled by the existing team in the first city. This approach minimizes capital commitment to the second city during the validation phase and allows the company to confirm that the second city’s market actually responds to the company’s offerings before committing to a physical presence.</w:t>
      </w:r>
    </w:p>
    <w:p>
      <w:pPr>
        <w:spacing w:after="160" w:line="300"/>
        <w:jc w:val="both"/>
      </w:pPr>
      <w:r>
        <w:rPr>
          <w:rFonts w:ascii="Calibri" w:cs="Calibri" w:eastAsia="Calibri" w:hAnsi="Calibri"/>
          <w:sz w:val="22"/>
          <w:szCs w:val="22"/>
        </w:rPr>
        <w:t xml:space="preserve">Only when the second city is generating monthly revenue of four to six thousand dollars, sustained over three consecutive months, does a physical office and a local technical team follow. At that threshold, the second city supports its own operational costs independently, and the physical presence accelerates rather than drags on business development.</w:t>
      </w:r>
    </w:p>
    <w:p>
      <w:pPr>
        <w:spacing w:after="160" w:line="300"/>
        <w:jc w:val="both"/>
      </w:pPr>
      <w:r>
        <w:rPr>
          <w:rFonts w:ascii="Calibri" w:cs="Calibri" w:eastAsia="Calibri" w:hAnsi="Calibri"/>
          <w:sz w:val="22"/>
          <w:szCs w:val="22"/>
        </w:rPr>
        <w:t xml:space="preserve">The choice between Basra and Erbil as the second city depends on which direction existing client relationships and referral networks have the stronger reach. Basra, with its industrial and oil-services economy, creates strong demand for factory automation, ERP systems, and camera monitoring, a natural fit for the company’s flagship capabilities. Erbil, with its more internationally connected economy and higher private sector price tolerance, supports more sophisticated AI solutions and premium pricing. Both are viable; the decision is data-driven rather than theoretical, based on where the company’s first-city relationships actually extend.</w:t>
      </w:r>
    </w:p>
    <w:p>
      <w:pPr>
        <w:pStyle w:val="Heading2"/>
        <w:spacing w:after="160" w:before="280"/>
      </w:pPr>
      <w:r>
        <w:rPr>
          <w:rFonts w:ascii="Calibri" w:cs="Calibri" w:eastAsia="Calibri" w:hAnsi="Calibri"/>
          <w:b/>
          <w:bCs/>
          <w:color w:val="2E75B6"/>
          <w:sz w:val="28"/>
          <w:szCs w:val="28"/>
        </w:rPr>
        <w:t xml:space="preserve">10.6 Year Two New Services</w:t>
      </w:r>
    </w:p>
    <w:p>
      <w:pPr>
        <w:spacing w:after="160" w:line="300"/>
        <w:jc w:val="both"/>
      </w:pPr>
      <w:r>
        <w:rPr>
          <w:rFonts w:ascii="Calibri" w:cs="Calibri" w:eastAsia="Calibri" w:hAnsi="Calibri"/>
          <w:sz w:val="22"/>
          <w:szCs w:val="22"/>
        </w:rPr>
        <w:t xml:space="preserve">As the team’s capabilities mature through delivered project experience, three new service categories become viable in year two. These are not speculative additions to the service menu but natural extensions of knowledge the team will already have accumulated.</w:t>
      </w:r>
    </w:p>
    <w:p>
      <w:pPr>
        <w:pStyle w:val="Heading3"/>
        <w:spacing w:after="120" w:before="200"/>
      </w:pPr>
      <w:r>
        <w:rPr>
          <w:rFonts w:ascii="Calibri" w:cs="Calibri" w:eastAsia="Calibri" w:hAnsi="Calibri"/>
          <w:b/>
          <w:bCs/>
          <w:color w:val="1F4E79"/>
          <w:sz w:val="24"/>
          <w:szCs w:val="24"/>
        </w:rPr>
        <w:t xml:space="preserve">Packaged SaaS ERP Platform</w:t>
      </w:r>
    </w:p>
    <w:p>
      <w:pPr>
        <w:spacing w:after="160" w:line="300"/>
        <w:jc w:val="both"/>
      </w:pPr>
      <w:r>
        <w:rPr>
          <w:rFonts w:ascii="Calibri" w:cs="Calibri" w:eastAsia="Calibri" w:hAnsi="Calibri"/>
          <w:sz w:val="22"/>
          <w:szCs w:val="22"/>
        </w:rPr>
        <w:t xml:space="preserve">The first and most consequential new offering extracts common components from the first six to eight custom ERP projects and consolidates them into a standardized platform that can be configured for new clients in days rather than weeks. This dramatically transforms the economics of the ERP offering: development cost is absorbed once during platform creation, and the platform is then licensed to many clients at a monthly subscription fee. At a target price of one hundred fifty to three hundred dollars monthly per client, fifty active subscribers produce seventy-five hundred to fifteen thousand dollars in near-pure recurring revenue monthly, with minimal additional delivery cost per new subscriber. This is the single highest-leverage opportunity in the year-two plan, and its development is the natural culmination of the custom ERP work performed during year one.</w:t>
      </w:r>
    </w:p>
    <w:p>
      <w:pPr>
        <w:pStyle w:val="Heading3"/>
        <w:spacing w:after="120" w:before="200"/>
      </w:pPr>
      <w:r>
        <w:rPr>
          <w:rFonts w:ascii="Calibri" w:cs="Calibri" w:eastAsia="Calibri" w:hAnsi="Calibri"/>
          <w:b/>
          <w:bCs/>
          <w:color w:val="1F4E79"/>
          <w:sz w:val="24"/>
          <w:szCs w:val="24"/>
        </w:rPr>
        <w:t xml:space="preserve">AI Training Services</w:t>
      </w:r>
    </w:p>
    <w:p>
      <w:pPr>
        <w:spacing w:after="160" w:line="300"/>
        <w:jc w:val="both"/>
      </w:pPr>
      <w:r>
        <w:rPr>
          <w:rFonts w:ascii="Calibri" w:cs="Calibri" w:eastAsia="Calibri" w:hAnsi="Calibri"/>
          <w:sz w:val="22"/>
          <w:szCs w:val="22"/>
        </w:rPr>
        <w:t xml:space="preserve">As the company’s reputation builds, demand emerges from business owners and employees who want to understand and use AI tools themselves rather than relying on external services for every requirement. Half-day and full-day training workshops, delivered in Arabic and grounded in practical Iraqi business applications, are packaged at two to five hundred dollars per participant. These workshops also serve as an effective lead generation channel, because many participants become clients for custom engagements after experiencing the team’s expertise firsthand. Workshops scale in a different direction than custom services: the marginal cost of an additional participant is nearly zero, which means revenue grows faster than delivery cost.</w:t>
      </w:r>
    </w:p>
    <w:p>
      <w:pPr>
        <w:pStyle w:val="Heading3"/>
        <w:spacing w:after="120" w:before="200"/>
      </w:pPr>
      <w:r>
        <w:rPr>
          <w:rFonts w:ascii="Calibri" w:cs="Calibri" w:eastAsia="Calibri" w:hAnsi="Calibri"/>
          <w:b/>
          <w:bCs/>
          <w:color w:val="1F4E79"/>
          <w:sz w:val="24"/>
          <w:szCs w:val="24"/>
        </w:rPr>
        <w:t xml:space="preserve">Predictive Maintenance for Industrial Clients</w:t>
      </w:r>
    </w:p>
    <w:p>
      <w:pPr>
        <w:spacing w:after="160" w:line="300"/>
        <w:jc w:val="both"/>
      </w:pPr>
      <w:r>
        <w:rPr>
          <w:rFonts w:ascii="Calibri" w:cs="Calibri" w:eastAsia="Calibri" w:hAnsi="Calibri"/>
          <w:sz w:val="22"/>
          <w:szCs w:val="22"/>
        </w:rPr>
        <w:t xml:space="preserve">With a foundation of camera AI experience and established relationships in the factory sector, the team is well-positioned to offer vibration analysis, anomaly detection, and equipment health monitoring as premium services to manufacturing clients. This is a high-value offering where pricing of five hundred to two thousand dollars monthly per client is supportable, because a single avoided equipment failure in a factory context can save tens of thousands of dollars. Entering this category requires specific sensor and analytics capabilities, which are developed during year one through the camera AI work and are augmented with additional specialized tools during year two.</w:t>
      </w:r>
    </w:p>
    <w:p>
      <w:pPr>
        <w:pStyle w:val="Heading2"/>
        <w:spacing w:after="160" w:before="280"/>
      </w:pPr>
      <w:r>
        <w:rPr>
          <w:rFonts w:ascii="Calibri" w:cs="Calibri" w:eastAsia="Calibri" w:hAnsi="Calibri"/>
          <w:b/>
          <w:bCs/>
          <w:color w:val="2E75B6"/>
          <w:sz w:val="28"/>
          <w:szCs w:val="28"/>
        </w:rPr>
        <w:t xml:space="preserve">10.7 Team Growth Across Year Two</w:t>
      </w:r>
    </w:p>
    <w:p>
      <w:pPr>
        <w:spacing w:after="160" w:line="300"/>
        <w:jc w:val="both"/>
      </w:pPr>
      <w:r>
        <w:rPr>
          <w:rFonts w:ascii="Calibri" w:cs="Calibri" w:eastAsia="Calibri" w:hAnsi="Calibri"/>
          <w:sz w:val="22"/>
          <w:szCs w:val="22"/>
        </w:rPr>
        <w:t xml:space="preserve">Team expansion in year two follows the demand created by growth rather than anticipating it. Each new role is added because a specific operational need has reached the point where the current team cannot absorb it without quality degradation.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Timing</w:t>
            </w:r>
          </w:p>
        </w:tc>
        <w:tc>
          <w:tcPr>
            <w:tcW w:type="dxa" w:w="32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Role</w:t>
            </w:r>
          </w:p>
        </w:tc>
        <w:tc>
          <w:tcPr>
            <w:tcW w:type="dxa" w:w="436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Rationale for Addition</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Month 6–7</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Junior Developer</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Frees senior team from routine implementation work</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Month 9–10</w:t>
            </w:r>
          </w:p>
        </w:tc>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Project Manager</w:t>
            </w:r>
          </w:p>
        </w:tc>
        <w:tc>
          <w:tcPr>
            <w:tcW w:type="dxa" w:w="4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Coordinates concurrent projects beyond Tech Lead capacity</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Month 12</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Second Sales Representative</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Essential for geographic expansion; commission-heavy</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Month 15</w:t>
            </w:r>
          </w:p>
        </w:tc>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Second Full-Stack Developer</w:t>
            </w:r>
          </w:p>
        </w:tc>
        <w:tc>
          <w:tcPr>
            <w:tcW w:type="dxa" w:w="4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Expanded client base requires additional capacity</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Month 18</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DevOps / Infrastructure Specialist</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Growing deployment complexity needs dedicated focus</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Month 20</w:t>
            </w:r>
          </w:p>
        </w:tc>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Second AI Engineer</w:t>
            </w:r>
          </w:p>
        </w:tc>
        <w:tc>
          <w:tcPr>
            <w:tcW w:type="dxa" w:w="4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Local technical presence for second city</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Month 24</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Finance and Operations Manager</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Business complexity needs dedicated management</w:t>
            </w:r>
          </w:p>
        </w:tc>
      </w:tr>
    </w:tbl>
    <w:p>
      <w:pPr>
        <w:spacing w:after="160" w:line="300"/>
        <w:jc w:val="both"/>
      </w:pPr>
      <w:r>
        <w:rPr>
          <w:rFonts w:ascii="Calibri" w:cs="Calibri" w:eastAsia="Calibri" w:hAnsi="Calibri"/>
          <w:sz w:val="22"/>
          <w:szCs w:val="22"/>
        </w:rPr>
        <w:t xml:space="preserve">By the two-year mark, the team has grown from the original five to approximately twelve to sixteen people distributed across two cities, with the first city operating as a largely self-managing unit under the Tech Lead and the General Manager focusing primarily on strategy, investor relations, and new market development.</w:t>
      </w:r>
    </w:p>
    <w:p>
      <w:pPr>
        <w:pStyle w:val="Heading2"/>
        <w:spacing w:after="160" w:before="280"/>
      </w:pPr>
      <w:r>
        <w:rPr>
          <w:rFonts w:ascii="Calibri" w:cs="Calibri" w:eastAsia="Calibri" w:hAnsi="Calibri"/>
          <w:b/>
          <w:bCs/>
          <w:color w:val="2E75B6"/>
          <w:sz w:val="28"/>
          <w:szCs w:val="28"/>
        </w:rPr>
        <w:t xml:space="preserve">10.8 Financial Trajectory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60"/>
        <w:gridCol w:w="2100"/>
        <w:gridCol w:w="2000"/>
      </w:tblGrid>
      <w:tr>
        <w:trPr>
          <w:tblHeader/>
        </w:trPr>
        <w:tc>
          <w:tcPr>
            <w:tcW w:type="dxa" w:w="32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Milestone</w:t>
            </w:r>
          </w:p>
        </w:tc>
        <w:tc>
          <w:tcPr>
            <w:tcW w:type="dxa" w:w="206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Month 12</w:t>
            </w:r>
          </w:p>
        </w:tc>
        <w:tc>
          <w:tcPr>
            <w:tcW w:type="dxa" w:w="21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Month 18</w:t>
            </w:r>
          </w:p>
        </w:tc>
        <w:tc>
          <w:tcPr>
            <w:tcW w:type="dxa" w:w="20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Month 24</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Monthly Revenue</w:t>
            </w:r>
          </w:p>
        </w:tc>
        <w:tc>
          <w:tcPr>
            <w:tcW w:type="dxa" w:w="20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$15,000</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$25,000</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$40,000+</w:t>
            </w:r>
          </w:p>
        </w:tc>
      </w:tr>
      <w:tr>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Retainer Base</w:t>
            </w:r>
          </w:p>
        </w:tc>
        <w:tc>
          <w:tcPr>
            <w:tcW w:type="dxa" w:w="20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$3,000</w:t>
            </w:r>
          </w:p>
        </w:tc>
        <w:tc>
          <w:tcPr>
            <w:tcW w:type="dxa" w:w="21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$6,000</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$12,000</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Active Clients</w:t>
            </w:r>
          </w:p>
        </w:tc>
        <w:tc>
          <w:tcPr>
            <w:tcW w:type="dxa" w:w="20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15–20</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30–40</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50–70</w:t>
            </w:r>
          </w:p>
        </w:tc>
      </w:tr>
      <w:tr>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Team Size</w:t>
            </w:r>
          </w:p>
        </w:tc>
        <w:tc>
          <w:tcPr>
            <w:tcW w:type="dxa" w:w="20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6–7</w:t>
            </w:r>
          </w:p>
        </w:tc>
        <w:tc>
          <w:tcPr>
            <w:tcW w:type="dxa" w:w="21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10–12</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14–16</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Cities Active</w:t>
            </w:r>
          </w:p>
        </w:tc>
        <w:tc>
          <w:tcPr>
            <w:tcW w:type="dxa" w:w="20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1</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2</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2–3</w:t>
            </w:r>
          </w:p>
        </w:tc>
      </w:tr>
      <w:tr>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SaaS Subscribers</w:t>
            </w:r>
          </w:p>
        </w:tc>
        <w:tc>
          <w:tcPr>
            <w:tcW w:type="dxa" w:w="20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0</w:t>
            </w:r>
          </w:p>
        </w:tc>
        <w:tc>
          <w:tcPr>
            <w:tcW w:type="dxa" w:w="21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10–20</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40–60</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Monthly Net Profit</w:t>
            </w:r>
          </w:p>
        </w:tc>
        <w:tc>
          <w:tcPr>
            <w:tcW w:type="dxa" w:w="20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$8–10K</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$14–18K</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$22–28K</w:t>
            </w:r>
          </w:p>
        </w:tc>
      </w:tr>
    </w:tbl>
    <w:p>
      <w:pPr>
        <w:pStyle w:val="Heading2"/>
        <w:spacing w:after="160" w:before="280"/>
      </w:pPr>
      <w:r>
        <w:rPr>
          <w:rFonts w:ascii="Calibri" w:cs="Calibri" w:eastAsia="Calibri" w:hAnsi="Calibri"/>
          <w:b/>
          <w:bCs/>
          <w:color w:val="2E75B6"/>
          <w:sz w:val="28"/>
          <w:szCs w:val="28"/>
        </w:rPr>
        <w:t xml:space="preserve">10.9 What Success Looks Like at Month 24</w:t>
      </w:r>
    </w:p>
    <w:p>
      <w:pPr>
        <w:spacing w:after="160" w:line="300"/>
        <w:jc w:val="both"/>
      </w:pPr>
      <w:r>
        <w:rPr>
          <w:rFonts w:ascii="Calibri" w:cs="Calibri" w:eastAsia="Calibri" w:hAnsi="Calibri"/>
          <w:sz w:val="22"/>
          <w:szCs w:val="22"/>
        </w:rPr>
        <w:t xml:space="preserve">At the two-year mark, on the realistic trajectory, the company that began in a converted workshop room with three employees and borrowed equipment will be a recognized presence in Iraq’s technology sector. It will operate across two cities, carry a client base of fifty or more businesses spanning healthcare, industry, retail, and real estate, generate monthly revenue of forty thousand dollars or more, and operate through a team capable of delivering complex AI solutions without daily founder involvement. The packaged SaaS ERP platform will be generating recurring revenue in amounts that begin to rival the traditional service revenue, creating a pathway toward a business model with fundamentally different economics than the custom services foundation.</w:t>
      </w:r>
    </w:p>
    <w:p>
      <w:pPr>
        <w:spacing w:after="160" w:line="300"/>
        <w:jc w:val="both"/>
      </w:pPr>
      <w:r>
        <w:rPr>
          <w:rFonts w:ascii="Calibri" w:cs="Calibri" w:eastAsia="Calibri" w:hAnsi="Calibri"/>
          <w:sz w:val="22"/>
          <w:szCs w:val="22"/>
        </w:rPr>
        <w:t xml:space="preserve">Each investor who placed thirteen thousand dollars in month one will have received quarterly distributions totaling substantially more than their original investment. On the realistic scenario, total cumulative distributions to each investor over twenty-four months would exceed twenty thousand dollars, and each will hold an equity position in a business that, at a conservative market valuation multiple applied to its monthly recurring revenue, represents a combined company value of several hundred thousand dollars. The investment will have returned its principal with substantial profit, and the equity position will continue generating value as the business progresses into year three.</w:t>
      </w:r>
    </w:p>
    <w:p>
      <w:pPr>
        <w:spacing w:after="160" w:line="300"/>
        <w:jc w:val="both"/>
      </w:pPr>
      <w:r>
        <w:rPr>
          <w:rFonts w:ascii="Calibri" w:cs="Calibri" w:eastAsia="Calibri" w:hAnsi="Calibri"/>
          <w:sz w:val="22"/>
          <w:szCs w:val="22"/>
        </w:rPr>
        <w:t xml:space="preserve">That is the destination this plan exists to reach. Phase 11, the investor pitch, is the document that begins the journey.</w:t>
      </w:r>
    </w:p>
    <w:p>
      <w:pPr>
        <w:pStyle w:val="Heading1"/>
        <w:pageBreakBefore/>
        <w:spacing w:after="240" w:before="400"/>
      </w:pPr>
      <w:r>
        <w:rPr>
          <w:rFonts w:ascii="Calibri" w:cs="Calibri" w:eastAsia="Calibri" w:hAnsi="Calibri"/>
          <w:b/>
          <w:bCs/>
          <w:color w:val="1F4E79"/>
          <w:sz w:val="36"/>
          <w:szCs w:val="36"/>
        </w:rPr>
        <w:t xml:space="preserve">Phase 11 — Investor Pitch Materials</w:t>
      </w:r>
    </w:p>
    <w:p>
      <w:pPr>
        <w:pBdr>
          <w:left w:val="single" w:color="2E75B6" w:sz="24" w:space="12"/>
        </w:pBdr>
        <w:spacing w:after="160" w:before="160" w:line="300"/>
        <w:ind w:left="360" w:right="360"/>
      </w:pPr>
      <w:r>
        <w:rPr>
          <w:rFonts w:ascii="Calibri" w:cs="Calibri" w:eastAsia="Calibri" w:hAnsi="Calibri"/>
          <w:i/>
          <w:iCs/>
          <w:color w:val="2E75B6"/>
          <w:sz w:val="22"/>
          <w:szCs w:val="22"/>
        </w:rPr>
        <w:t xml:space="preserve">Everything built in the previous ten phases consolidated into the specific materials used to secure investment: the one-page summary, the slide deck structure, the financial model, the legal setup, and the conduct of the investor meeting itself.</w:t>
      </w:r>
    </w:p>
    <w:p>
      <w:pPr>
        <w:pStyle w:val="Heading2"/>
        <w:spacing w:after="160" w:before="280"/>
      </w:pPr>
      <w:r>
        <w:rPr>
          <w:rFonts w:ascii="Calibri" w:cs="Calibri" w:eastAsia="Calibri" w:hAnsi="Calibri"/>
          <w:b/>
          <w:bCs/>
          <w:color w:val="2E75B6"/>
          <w:sz w:val="28"/>
          <w:szCs w:val="28"/>
        </w:rPr>
        <w:t xml:space="preserve">11.1 Overview of Pitch Materials</w:t>
      </w:r>
    </w:p>
    <w:p>
      <w:pPr>
        <w:spacing w:after="160" w:line="300"/>
        <w:jc w:val="both"/>
      </w:pPr>
      <w:r>
        <w:rPr>
          <w:rFonts w:ascii="Calibri" w:cs="Calibri" w:eastAsia="Calibri" w:hAnsi="Calibri"/>
          <w:sz w:val="22"/>
          <w:szCs w:val="22"/>
        </w:rPr>
        <w:t xml:space="preserve">The investor pitch is not a summary of the business plan but a distinct communication designed for a specific purpose: taking a skeptical, financially minded prospective investor from unfamiliar to convinced in approximately thirty minutes. It has four components, each serving a distinct moment in the investor conversation. The one-page executive summary is sent before the meeting to establish context, or left behind after the meeting as a reference document. The pitch deck, ten to twelve slides, is the visual backbone of the meeting presentation. The financial model, delivered as a spreadsheet, supports the investor’s independent analysis after the meeting. The legal structure and registration plan demonstrates that the arrangement has been thought through in concrete terms.</w:t>
      </w:r>
    </w:p>
    <w:p>
      <w:pPr>
        <w:pStyle w:val="Heading2"/>
        <w:spacing w:after="160" w:before="280"/>
      </w:pPr>
      <w:r>
        <w:rPr>
          <w:rFonts w:ascii="Calibri" w:cs="Calibri" w:eastAsia="Calibri" w:hAnsi="Calibri"/>
          <w:b/>
          <w:bCs/>
          <w:color w:val="2E75B6"/>
          <w:sz w:val="28"/>
          <w:szCs w:val="28"/>
        </w:rPr>
        <w:t xml:space="preserve">11.2 One-Page Executive Summary Content</w:t>
      </w:r>
    </w:p>
    <w:p>
      <w:pPr>
        <w:spacing w:after="160" w:line="300"/>
        <w:jc w:val="both"/>
      </w:pPr>
      <w:r>
        <w:rPr>
          <w:rFonts w:ascii="Calibri" w:cs="Calibri" w:eastAsia="Calibri" w:hAnsi="Calibri"/>
          <w:sz w:val="22"/>
          <w:szCs w:val="22"/>
        </w:rPr>
        <w:t xml:space="preserve">The one-page summary follows a deliberate structure designed to answer the five questions every prospective investor asks before they agree to a formal meeting. It is sent in advance of the first substantive conversation, ideally via WhatsApp or email, with a short personal note explaining why this particular investor is being considered for this particular opportunity. The six sections of the one-page summary are as follows.</w:t>
      </w:r>
    </w:p>
    <w:p>
      <w:pPr>
        <w:pStyle w:val="Heading3"/>
        <w:spacing w:after="120" w:before="200"/>
      </w:pPr>
      <w:r>
        <w:rPr>
          <w:rFonts w:ascii="Calibri" w:cs="Calibri" w:eastAsia="Calibri" w:hAnsi="Calibri"/>
          <w:b/>
          <w:bCs/>
          <w:color w:val="1F4E79"/>
          <w:sz w:val="24"/>
          <w:szCs w:val="24"/>
        </w:rPr>
        <w:t xml:space="preserve">The Opportunity</w:t>
      </w:r>
    </w:p>
    <w:p>
      <w:pPr>
        <w:spacing w:after="160" w:line="300"/>
        <w:jc w:val="both"/>
      </w:pPr>
      <w:r>
        <w:rPr>
          <w:rFonts w:ascii="Calibri" w:cs="Calibri" w:eastAsia="Calibri" w:hAnsi="Calibri"/>
          <w:sz w:val="22"/>
          <w:szCs w:val="22"/>
        </w:rPr>
        <w:t xml:space="preserve">Iraq’s business sector, spanning manufacturing, healthcare, retail, and real estate, operates almost entirely without AI support. Foreign AI companies are expensive and disconnected from local realities. Local IT companies lack specialization. The gap is wide, the timing is early, and the competitive landscape is nearly empty.</w:t>
      </w:r>
    </w:p>
    <w:p>
      <w:pPr>
        <w:pStyle w:val="Heading3"/>
        <w:spacing w:after="120" w:before="200"/>
      </w:pPr>
      <w:r>
        <w:rPr>
          <w:rFonts w:ascii="Calibri" w:cs="Calibri" w:eastAsia="Calibri" w:hAnsi="Calibri"/>
          <w:b/>
          <w:bCs/>
          <w:color w:val="1F4E79"/>
          <w:sz w:val="24"/>
          <w:szCs w:val="24"/>
        </w:rPr>
        <w:t xml:space="preserve">What the Company Does</w:t>
      </w:r>
    </w:p>
    <w:p>
      <w:pPr>
        <w:spacing w:after="160" w:line="300"/>
        <w:jc w:val="both"/>
      </w:pPr>
      <w:r>
        <w:rPr>
          <w:rFonts w:ascii="Calibri" w:cs="Calibri" w:eastAsia="Calibri" w:hAnsi="Calibri"/>
          <w:sz w:val="22"/>
          <w:szCs w:val="22"/>
        </w:rPr>
        <w:t xml:space="preserve">The company builds and deploys practical, affordable, privacy-first AI solutions for Iraqi businesses. Core offerings include business process automation, custom ERP systems, AI-powered websites and chatbots, and offline camera monitoring systems, all operating on local hardware without cloud dependency.</w:t>
      </w:r>
    </w:p>
    <w:p>
      <w:pPr>
        <w:pStyle w:val="Heading3"/>
        <w:spacing w:after="120" w:before="200"/>
      </w:pPr>
      <w:r>
        <w:rPr>
          <w:rFonts w:ascii="Calibri" w:cs="Calibri" w:eastAsia="Calibri" w:hAnsi="Calibri"/>
          <w:b/>
          <w:bCs/>
          <w:color w:val="1F4E79"/>
          <w:sz w:val="24"/>
          <w:szCs w:val="24"/>
        </w:rPr>
        <w:t xml:space="preserve">The Competitive Advantage</w:t>
      </w:r>
    </w:p>
    <w:p>
      <w:pPr>
        <w:spacing w:after="160" w:line="300"/>
        <w:jc w:val="both"/>
      </w:pPr>
      <w:r>
        <w:rPr>
          <w:rFonts w:ascii="Calibri" w:cs="Calibri" w:eastAsia="Calibri" w:hAnsi="Calibri"/>
          <w:sz w:val="22"/>
          <w:szCs w:val="22"/>
        </w:rPr>
        <w:t xml:space="preserve">Three advantages combine to create a defensible position. The company operates locally, in Arabic, with face-to-face relationships. It delivers custom solutions built for each specific business rather than generic software. And it runs all AI workloads on local hardware, which for clinics, factories, and sensitive-data businesses is often a requirement rather than a preference.</w:t>
      </w:r>
    </w:p>
    <w:p>
      <w:pPr>
        <w:pStyle w:val="Heading3"/>
        <w:spacing w:after="120" w:before="200"/>
      </w:pPr>
      <w:r>
        <w:rPr>
          <w:rFonts w:ascii="Calibri" w:cs="Calibri" w:eastAsia="Calibri" w:hAnsi="Calibri"/>
          <w:b/>
          <w:bCs/>
          <w:color w:val="1F4E79"/>
          <w:sz w:val="24"/>
          <w:szCs w:val="24"/>
        </w:rPr>
        <w:t xml:space="preserve">The Business Model</w:t>
      </w:r>
    </w:p>
    <w:p>
      <w:pPr>
        <w:spacing w:after="160" w:line="300"/>
        <w:jc w:val="both"/>
      </w:pPr>
      <w:r>
        <w:rPr>
          <w:rFonts w:ascii="Calibri" w:cs="Calibri" w:eastAsia="Calibri" w:hAnsi="Calibri"/>
          <w:sz w:val="22"/>
          <w:szCs w:val="22"/>
        </w:rPr>
        <w:t xml:space="preserve">Revenue flows through two streams. Project-based fees ranging from six hundred to fifteen thousand dollars fund the initial build. Monthly retainers for support, maintenance, and optimization convert every delivered project into potential long-term recurring revenue.</w:t>
      </w:r>
    </w:p>
    <w:p>
      <w:pPr>
        <w:pStyle w:val="Heading3"/>
        <w:spacing w:after="120" w:before="200"/>
      </w:pPr>
      <w:r>
        <w:rPr>
          <w:rFonts w:ascii="Calibri" w:cs="Calibri" w:eastAsia="Calibri" w:hAnsi="Calibri"/>
          <w:b/>
          <w:bCs/>
          <w:color w:val="1F4E79"/>
          <w:sz w:val="24"/>
          <w:szCs w:val="24"/>
        </w:rPr>
        <w:t xml:space="preserve">The Investment</w:t>
      </w:r>
    </w:p>
    <w:p>
      <w:pPr>
        <w:spacing w:after="160" w:line="300"/>
        <w:jc w:val="both"/>
      </w:pPr>
      <w:r>
        <w:rPr>
          <w:rFonts w:ascii="Calibri" w:cs="Calibri" w:eastAsia="Calibri" w:hAnsi="Calibri"/>
          <w:sz w:val="22"/>
          <w:szCs w:val="22"/>
        </w:rPr>
        <w:t xml:space="preserve">Total capital required is twenty-six thousand dollars, sought from two investment partners at thirteen thousand dollars each. Combined with founder in-kind contribution of office space, utilities, and management, this fully funds twelve months of operations. Monthly operating costs are three thousand dollars. Break-even on the realistic scenario occurs at month five, with full investment recovery between months fourteen and eighteen, and projected investor returns exceeding one hundred fifty percent over eighteen months.</w:t>
      </w:r>
    </w:p>
    <w:p>
      <w:pPr>
        <w:pStyle w:val="Heading3"/>
        <w:spacing w:after="120" w:before="200"/>
      </w:pPr>
      <w:r>
        <w:rPr>
          <w:rFonts w:ascii="Calibri" w:cs="Calibri" w:eastAsia="Calibri" w:hAnsi="Calibri"/>
          <w:b/>
          <w:bCs/>
          <w:color w:val="1F4E79"/>
          <w:sz w:val="24"/>
          <w:szCs w:val="24"/>
        </w:rPr>
        <w:t xml:space="preserve">The Ask</w:t>
      </w:r>
    </w:p>
    <w:p>
      <w:pPr>
        <w:spacing w:after="160" w:line="300"/>
        <w:jc w:val="both"/>
      </w:pPr>
      <w:r>
        <w:rPr>
          <w:rFonts w:ascii="Calibri" w:cs="Calibri" w:eastAsia="Calibri" w:hAnsi="Calibri"/>
          <w:sz w:val="22"/>
          <w:szCs w:val="22"/>
        </w:rPr>
        <w:t xml:space="preserve">Two investment partners are sought. Thirteen thousand dollars from each. Twenty-eight percent equity per investor after month-twelve conversion. Quarterly profit distributions from month six. Investment recovery and profit realization on a defined schedule backed by a notarized agreement.</w:t>
      </w:r>
    </w:p>
    <w:p>
      <w:pPr>
        <w:pStyle w:val="Heading2"/>
        <w:spacing w:after="160" w:before="280"/>
      </w:pPr>
      <w:r>
        <w:rPr>
          <w:rFonts w:ascii="Calibri" w:cs="Calibri" w:eastAsia="Calibri" w:hAnsi="Calibri"/>
          <w:b/>
          <w:bCs/>
          <w:color w:val="2E75B6"/>
          <w:sz w:val="28"/>
          <w:szCs w:val="28"/>
        </w:rPr>
        <w:t xml:space="preserve">11.3 Pitch Deck Structure</w:t>
      </w:r>
    </w:p>
    <w:p>
      <w:pPr>
        <w:spacing w:after="160" w:line="300"/>
        <w:jc w:val="both"/>
      </w:pPr>
      <w:r>
        <w:rPr>
          <w:rFonts w:ascii="Calibri" w:cs="Calibri" w:eastAsia="Calibri" w:hAnsi="Calibri"/>
          <w:sz w:val="22"/>
          <w:szCs w:val="22"/>
        </w:rPr>
        <w:t xml:space="preserve">The pitch deck is used in the meeting itself, not sent as a reading document. Each slide supports what the General Manager is saying rather than replacing it. Slides are visually clean, with one dominant idea per slide and minimal text, and the presentation progresses through twelve slides in approximately twenty minutes, leaving ten minutes for questions and discussion.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5260"/>
      </w:tblGrid>
      <w:tr>
        <w:trPr>
          <w:tblHeader/>
        </w:trPr>
        <w:tc>
          <w:tcPr>
            <w:tcW w:type="dxa" w:w="15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Slide</w:t>
            </w:r>
          </w:p>
        </w:tc>
        <w:tc>
          <w:tcPr>
            <w:tcW w:type="dxa" w:w="26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Purpose</w:t>
            </w:r>
          </w:p>
        </w:tc>
        <w:tc>
          <w:tcPr>
            <w:tcW w:type="dxa" w:w="526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Key Content</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1. Opening</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Capture attention</w:t>
            </w:r>
          </w:p>
        </w:tc>
        <w:tc>
          <w:tcPr>
            <w:tcW w:type="dxa" w:w="5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One sentence hook, one image</w:t>
            </w:r>
          </w:p>
        </w:tc>
      </w:tr>
      <w:tr>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2. The Problem</w:t>
            </w:r>
          </w:p>
        </w:tc>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Establish pain with numbers</w:t>
            </w:r>
          </w:p>
        </w:tc>
        <w:tc>
          <w:tcPr>
            <w:tcW w:type="dxa" w:w="52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Three specific business problems with concrete metrics</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3. Market Opportunity</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Demonstrate scale and timing</w:t>
            </w:r>
          </w:p>
        </w:tc>
        <w:tc>
          <w:tcPr>
            <w:tcW w:type="dxa" w:w="5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Iraqi AI market growth; regional acceleration; Iraq’s position</w:t>
            </w:r>
          </w:p>
        </w:tc>
      </w:tr>
      <w:tr>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4. Our Solution</w:t>
            </w:r>
          </w:p>
        </w:tc>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Show the portfolio</w:t>
            </w:r>
          </w:p>
        </w:tc>
        <w:tc>
          <w:tcPr>
            <w:tcW w:type="dxa" w:w="52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Automate, Build, Monitor, with example and price per line</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5. Unique Advantage</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Establish defensibility</w:t>
            </w:r>
          </w:p>
        </w:tc>
        <w:tc>
          <w:tcPr>
            <w:tcW w:type="dxa" w:w="5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Local, Custom, Offline, plus synthesizing statement</w:t>
            </w:r>
          </w:p>
        </w:tc>
      </w:tr>
      <w:tr>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6. Business Model</w:t>
            </w:r>
          </w:p>
        </w:tc>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Show money flow</w:t>
            </w:r>
          </w:p>
        </w:tc>
        <w:tc>
          <w:tcPr>
            <w:tcW w:type="dxa" w:w="52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Project revenue plus retainer revenue compounding</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7. Financial Projections</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Make numbers visible</w:t>
            </w:r>
          </w:p>
        </w:tc>
        <w:tc>
          <w:tcPr>
            <w:tcW w:type="dxa" w:w="5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Three-scenario chart plus four headline numbers</w:t>
            </w:r>
          </w:p>
        </w:tc>
      </w:tr>
      <w:tr>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8. The Team</w:t>
            </w:r>
          </w:p>
        </w:tc>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Establish capability</w:t>
            </w:r>
          </w:p>
        </w:tc>
        <w:tc>
          <w:tcPr>
            <w:tcW w:type="dxa" w:w="52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Five roles; one sentence per person on specific capability</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9. Traction and Timeline</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Show momentum</w:t>
            </w:r>
          </w:p>
        </w:tc>
        <w:tc>
          <w:tcPr>
            <w:tcW w:type="dxa" w:w="5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Evidence of demand or detailed Month 1-12 timeline</w:t>
            </w:r>
          </w:p>
        </w:tc>
      </w:tr>
      <w:tr>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10. Investment Structure</w:t>
            </w:r>
          </w:p>
        </w:tc>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Make terms explicit</w:t>
            </w:r>
          </w:p>
        </w:tc>
        <w:tc>
          <w:tcPr>
            <w:tcW w:type="dxa" w:w="52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Clean table: who invests, receives, when</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11. The Ask</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Close with clarity</w:t>
            </w:r>
          </w:p>
        </w:tc>
        <w:tc>
          <w:tcPr>
            <w:tcW w:type="dxa" w:w="5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Direct statement of partners, capital, equity, returns</w:t>
            </w:r>
          </w:p>
        </w:tc>
      </w:tr>
      <w:tr>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12. Contact</w:t>
            </w:r>
          </w:p>
        </w:tc>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Define next step</w:t>
            </w:r>
          </w:p>
        </w:tc>
        <w:tc>
          <w:tcPr>
            <w:tcW w:type="dxa" w:w="52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Name, contact, specific next action with timing</w:t>
            </w:r>
          </w:p>
        </w:tc>
      </w:tr>
    </w:tbl>
    <w:p>
      <w:pPr>
        <w:pStyle w:val="Heading2"/>
        <w:spacing w:after="160" w:before="280"/>
      </w:pPr>
      <w:r>
        <w:rPr>
          <w:rFonts w:ascii="Calibri" w:cs="Calibri" w:eastAsia="Calibri" w:hAnsi="Calibri"/>
          <w:b/>
          <w:bCs/>
          <w:color w:val="2E75B6"/>
          <w:sz w:val="28"/>
          <w:szCs w:val="28"/>
        </w:rPr>
        <w:t xml:space="preserve">11.4 Financial Model Spreadsheet</w:t>
      </w:r>
    </w:p>
    <w:p>
      <w:pPr>
        <w:spacing w:after="160" w:line="300"/>
        <w:jc w:val="both"/>
      </w:pPr>
      <w:r>
        <w:rPr>
          <w:rFonts w:ascii="Calibri" w:cs="Calibri" w:eastAsia="Calibri" w:hAnsi="Calibri"/>
          <w:sz w:val="22"/>
          <w:szCs w:val="22"/>
        </w:rPr>
        <w:t xml:space="preserve">The financial model is delivered as a spreadsheet alongside the pitch deck, allowing the prospective investor to review the numbers independently and perform their own analysis. The spreadsheet is structured in four tabs.</w:t>
      </w:r>
    </w:p>
    <w:p>
      <w:pPr>
        <w:spacing w:after="160" w:line="300"/>
        <w:jc w:val="both"/>
      </w:pPr>
      <w:r>
        <w:rPr>
          <w:rFonts w:ascii="Calibri" w:cs="Calibri" w:eastAsia="Calibri" w:hAnsi="Calibri"/>
          <w:sz w:val="22"/>
          <w:szCs w:val="22"/>
        </w:rPr>
        <w:t xml:space="preserve">The first tab presents the full startup cost breakdown from Phase 6, itemized by category with specific amounts and acquisition timing. Each line item links to its source in the plan, allowing the investor to verify that the amount reflects actual planned purchase rather than rough estimate.</w:t>
      </w:r>
    </w:p>
    <w:p>
      <w:pPr>
        <w:spacing w:after="160" w:line="300"/>
        <w:jc w:val="both"/>
      </w:pPr>
      <w:r>
        <w:rPr>
          <w:rFonts w:ascii="Calibri" w:cs="Calibri" w:eastAsia="Calibri" w:hAnsi="Calibri"/>
          <w:sz w:val="22"/>
          <w:szCs w:val="22"/>
        </w:rPr>
        <w:t xml:space="preserve">The second tab presents the monthly operating cost structure with each line item labeled and the in-kind contribution shown separately as a non-cash offset. The structure is transparent, with nothing hidden in aggregated totals.</w:t>
      </w:r>
    </w:p>
    <w:p>
      <w:pPr>
        <w:spacing w:after="160" w:line="300"/>
        <w:jc w:val="both"/>
      </w:pPr>
      <w:r>
        <w:rPr>
          <w:rFonts w:ascii="Calibri" w:cs="Calibri" w:eastAsia="Calibri" w:hAnsi="Calibri"/>
          <w:sz w:val="22"/>
          <w:szCs w:val="22"/>
        </w:rPr>
        <w:t xml:space="preserve">The third tab presents the eighteen-month revenue projection across all three scenarios, conservative, realistic, and optimistic, with the assumptions that drive each scenario stated explicitly and the formulas visible for inspection. An investor who wants to test the model by changing key assumptions can do so directly.</w:t>
      </w:r>
    </w:p>
    <w:p>
      <w:pPr>
        <w:spacing w:after="160" w:line="300"/>
        <w:jc w:val="both"/>
      </w:pPr>
      <w:r>
        <w:rPr>
          <w:rFonts w:ascii="Calibri" w:cs="Calibri" w:eastAsia="Calibri" w:hAnsi="Calibri"/>
          <w:sz w:val="22"/>
          <w:szCs w:val="22"/>
        </w:rPr>
        <w:t xml:space="preserve">The fourth tab presents the investor-specific return calculation: the thirteen thousand dollar investment, the quarterly distribution schedule beginning at month six, the distribution amounts under each scenario, the cumulative return over eighteen months, and the equity position value at month eighteen based on a conservative revenue multiple. This tab answers the specific question every investor asks: how much do I put in, when does it come back, and what do I own at the end.</w:t>
      </w:r>
    </w:p>
    <w:p>
      <w:pPr>
        <w:pStyle w:val="Heading2"/>
        <w:spacing w:after="160" w:before="280"/>
      </w:pPr>
      <w:r>
        <w:rPr>
          <w:rFonts w:ascii="Calibri" w:cs="Calibri" w:eastAsia="Calibri" w:hAnsi="Calibri"/>
          <w:b/>
          <w:bCs/>
          <w:color w:val="2E75B6"/>
          <w:sz w:val="28"/>
          <w:szCs w:val="28"/>
        </w:rPr>
        <w:t xml:space="preserve">11.5 Legal Structure and Company Registration</w:t>
      </w:r>
    </w:p>
    <w:p>
      <w:pPr>
        <w:spacing w:after="160" w:line="300"/>
        <w:jc w:val="both"/>
      </w:pPr>
      <w:r>
        <w:rPr>
          <w:rFonts w:ascii="Calibri" w:cs="Calibri" w:eastAsia="Calibri" w:hAnsi="Calibri"/>
          <w:sz w:val="22"/>
          <w:szCs w:val="22"/>
        </w:rPr>
        <w:t xml:space="preserve">In Iraq’s current business environment, the practical legal structure for this company is a limited liability company registered under Iraqi commercial law. This structure provides formal legal existence, limits the personal liability of all partners for company obligations, and creates the framework within which the shareholder agreement described in Phase 7 operates.</w:t>
      </w:r>
    </w:p>
    <w:p>
      <w:pPr>
        <w:spacing w:after="160" w:line="300"/>
        <w:jc w:val="both"/>
      </w:pPr>
      <w:r>
        <w:rPr>
          <w:rFonts w:ascii="Calibri" w:cs="Calibri" w:eastAsia="Calibri" w:hAnsi="Calibri"/>
          <w:sz w:val="22"/>
          <w:szCs w:val="22"/>
        </w:rPr>
        <w:t xml:space="preserve">The registration process involves four steps. First, a company name is reserved with the Iraqi Companies Registration Directorate under the Ministry of Trade, ensuring the proposed name is not already in use by another entity. Second, the articles of association are prepared, which is the founding legal document defining ownership percentages, decision-making rights, and company purpose. Third, the minimum required capital is deposited in a registered Iraqi bank account opened in the company name. Fourth, the shareholder agreement from Phase 7 is notarized, listing all parties, their contributions, their rights, and the full terms of the investment relationship.</w:t>
      </w:r>
    </w:p>
    <w:p>
      <w:pPr>
        <w:spacing w:after="160" w:line="300"/>
        <w:jc w:val="both"/>
      </w:pPr>
      <w:r>
        <w:rPr>
          <w:rFonts w:ascii="Calibri" w:cs="Calibri" w:eastAsia="Calibri" w:hAnsi="Calibri"/>
          <w:sz w:val="22"/>
          <w:szCs w:val="22"/>
        </w:rPr>
        <w:t xml:space="preserve">Total cost of the complete registration and notarization process is estimated at three to six hundred dollars. It should be completed before any investment capital is received, because investors should be contributing to a legal entity rather than to an individual. If formal LLC registration takes longer than expected, Iraqi bureaucratic processes occasionally extend beyond their nominal timelines, the notarized shareholder agreement alone provides interim legal protection for all parties and is sufficient to begin operations while formal registration completes.</w:t>
      </w:r>
    </w:p>
    <w:p>
      <w:pPr>
        <w:spacing w:after="160" w:line="300"/>
        <w:jc w:val="both"/>
      </w:pPr>
      <w:r>
        <w:rPr>
          <w:rFonts w:ascii="Calibri" w:cs="Calibri" w:eastAsia="Calibri" w:hAnsi="Calibri"/>
          <w:sz w:val="22"/>
          <w:szCs w:val="22"/>
        </w:rPr>
        <w:t xml:space="preserve">One additional step carries no financial cost but substantial value: a dedicated company bank account is opened, separate from any personal account of any party, and every transaction, investment received, salary paid, client payment collected, subscription paid, passes through this account exclusively. This single discipline prevents the most common source of disputes in early-stage companies, where personal and business funds become commingled in ways that are difficult to reconstruct after the fact. For the investor, the dedicated account is also the most concrete demonstration that their capital is being managed with professional rigor from the first day.</w:t>
      </w:r>
    </w:p>
    <w:p>
      <w:pPr>
        <w:pStyle w:val="Heading2"/>
        <w:spacing w:after="160" w:before="280"/>
      </w:pPr>
      <w:r>
        <w:rPr>
          <w:rFonts w:ascii="Calibri" w:cs="Calibri" w:eastAsia="Calibri" w:hAnsi="Calibri"/>
          <w:b/>
          <w:bCs/>
          <w:color w:val="2E75B6"/>
          <w:sz w:val="28"/>
          <w:szCs w:val="28"/>
        </w:rPr>
        <w:t xml:space="preserve">11.6 Conducting the Investor Meeting</w:t>
      </w:r>
    </w:p>
    <w:p>
      <w:pPr>
        <w:spacing w:after="160" w:line="300"/>
        <w:jc w:val="both"/>
      </w:pPr>
      <w:r>
        <w:rPr>
          <w:rFonts w:ascii="Calibri" w:cs="Calibri" w:eastAsia="Calibri" w:hAnsi="Calibri"/>
          <w:sz w:val="22"/>
          <w:szCs w:val="22"/>
        </w:rPr>
        <w:t xml:space="preserve">The investor meeting itself is as consequential as the materials prepared for it, and its conduct follows a structure calibrated to Iraqi business culture and to the psychology of investment decisions.</w:t>
      </w:r>
    </w:p>
    <w:p>
      <w:pPr>
        <w:spacing w:after="160" w:line="300"/>
        <w:jc w:val="both"/>
      </w:pPr>
      <w:r>
        <w:rPr>
          <w:rFonts w:ascii="Calibri" w:cs="Calibri" w:eastAsia="Calibri" w:hAnsi="Calibri"/>
          <w:sz w:val="22"/>
          <w:szCs w:val="22"/>
        </w:rPr>
        <w:t xml:space="preserve">The first five minutes establish relationship before any presentation begins. Questions about the investor’s own experience, acknowledgment of their expertise and standing, and explicit framing of the conversation as seeking a partner rather than merely a source of capital create the trust foundation on which the rest of the meeting depends. Attempting to bypass this phase in the interest of efficiency almost always reduces rather than increases the probability of a successful outcome.</w:t>
      </w:r>
    </w:p>
    <w:p>
      <w:pPr>
        <w:spacing w:after="160" w:line="300"/>
        <w:jc w:val="both"/>
      </w:pPr>
      <w:r>
        <w:rPr>
          <w:rFonts w:ascii="Calibri" w:cs="Calibri" w:eastAsia="Calibri" w:hAnsi="Calibri"/>
          <w:sz w:val="22"/>
          <w:szCs w:val="22"/>
        </w:rPr>
        <w:t xml:space="preserve">The next fifteen minutes move through slides two through ten, with the General Manager speaking to each slide rather than reading from it. The pace is deliberate but not slow, and pauses at key moments, particularly at the financial projections slide and the unique advantage slide, invite the investor to ask questions and engage. Investor engagement is itself the buying signal; an investor asking substantive questions is substantially closer to committing than one listening silently.</w:t>
      </w:r>
    </w:p>
    <w:p>
      <w:pPr>
        <w:spacing w:after="160" w:line="300"/>
        <w:jc w:val="both"/>
      </w:pPr>
      <w:r>
        <w:rPr>
          <w:rFonts w:ascii="Calibri" w:cs="Calibri" w:eastAsia="Calibri" w:hAnsi="Calibri"/>
          <w:sz w:val="22"/>
          <w:szCs w:val="22"/>
        </w:rPr>
        <w:t xml:space="preserve">The final ten minutes address the deal structure and next steps directly. The General Manager states clearly what is being requested and what is being offered in return, without apology and without unnecessary elaboration. If the investor expresses reservation about specific terms, the General Manager does not negotiate in the first meeting; the response is that the structure is designed to balance the interests of all parties and that a second meeting can be scheduled specifically to discuss any particular concerns in depth. This discipline preserves the General Manager’s ability to consider modifications carefully rather than conceding under meeting pressure.</w:t>
      </w:r>
    </w:p>
    <w:p>
      <w:pPr>
        <w:spacing w:after="160" w:line="300"/>
        <w:jc w:val="both"/>
      </w:pPr>
      <w:r>
        <w:rPr>
          <w:rFonts w:ascii="Calibri" w:cs="Calibri" w:eastAsia="Calibri" w:hAnsi="Calibri"/>
          <w:sz w:val="22"/>
          <w:szCs w:val="22"/>
        </w:rPr>
        <w:t xml:space="preserve">Every meeting ends with a specific defined next action and a specific time attached to it. “I will follow up by email” is not a next action; “I will send the financial model tomorrow morning and follow up Thursday afternoon to hear your thoughts” is a next action. Creating this specific commitment at the end of the meeting maintains momentum and prevents the quiet drift that otherwise causes promising investor conversations to fade into nothing.</w:t>
      </w:r>
    </w:p>
    <w:p>
      <w:pPr>
        <w:pStyle w:val="Heading2"/>
        <w:spacing w:after="160" w:before="280"/>
      </w:pPr>
      <w:r>
        <w:rPr>
          <w:rFonts w:ascii="Calibri" w:cs="Calibri" w:eastAsia="Calibri" w:hAnsi="Calibri"/>
          <w:b/>
          <w:bCs/>
          <w:color w:val="2E75B6"/>
          <w:sz w:val="28"/>
          <w:szCs w:val="28"/>
        </w:rPr>
        <w:t xml:space="preserve">11.7 Immediate Next Steps</w:t>
      </w:r>
    </w:p>
    <w:p>
      <w:pPr>
        <w:spacing w:after="160" w:line="300"/>
        <w:jc w:val="both"/>
      </w:pPr>
      <w:r>
        <w:rPr>
          <w:rFonts w:ascii="Calibri" w:cs="Calibri" w:eastAsia="Calibri" w:hAnsi="Calibri"/>
          <w:sz w:val="22"/>
          <w:szCs w:val="22"/>
        </w:rPr>
        <w:t xml:space="preserve">The path from complete plan to operating business runs through specific actions that begin immediately upon reading this document.</w:t>
      </w:r>
    </w:p>
    <w:p>
      <w:pPr>
        <w:spacing w:after="160" w:line="300"/>
        <w:jc w:val="both"/>
      </w:pPr>
      <w:r>
        <w:rPr>
          <w:rFonts w:ascii="Calibri" w:cs="Calibri" w:eastAsia="Calibri" w:hAnsi="Calibri"/>
          <w:sz w:val="22"/>
          <w:szCs w:val="22"/>
        </w:rPr>
        <w:t xml:space="preserve">In the first week, the General Manager identifies the two individuals in their network who are most likely to be appropriate investment partners, based on the profile criteria described in Phase 7. A casual initial conversation is scheduled with each, not a formal pitch, and the purpose of that conversation is to gauge interest and to share the one-page summary.</w:t>
      </w:r>
    </w:p>
    <w:p>
      <w:pPr>
        <w:spacing w:after="160" w:line="300"/>
        <w:jc w:val="both"/>
      </w:pPr>
      <w:r>
        <w:rPr>
          <w:rFonts w:ascii="Calibri" w:cs="Calibri" w:eastAsia="Calibri" w:hAnsi="Calibri"/>
          <w:sz w:val="22"/>
          <w:szCs w:val="22"/>
        </w:rPr>
        <w:t xml:space="preserve">In the second and third weeks, the pitch deck is prepared based on the structure described in this phase, the financial model spreadsheet is built from the numbers in Phase 6, and the draft shareholder agreement is prepared based on Phase 7. A trusted advisor, a lawyer, an experienced business owner, or a mentor with investment experience, reviews the materials and provides feedback before any investor meeting takes place.</w:t>
      </w:r>
    </w:p>
    <w:p>
      <w:pPr>
        <w:spacing w:after="160" w:line="300"/>
        <w:jc w:val="both"/>
      </w:pPr>
      <w:r>
        <w:rPr>
          <w:rFonts w:ascii="Calibri" w:cs="Calibri" w:eastAsia="Calibri" w:hAnsi="Calibri"/>
          <w:sz w:val="22"/>
          <w:szCs w:val="22"/>
        </w:rPr>
        <w:t xml:space="preserve">In the fourth week, the first formal investor meeting is conducted, followed by the second within a week afterward. The goal is to have both investor commitments confirmed within thirty to forty-five days of beginning active outreach, which is an aggressive but achievable timeline given the preparation contained in this plan.</w:t>
      </w:r>
    </w:p>
    <w:p>
      <w:pPr>
        <w:spacing w:after="160" w:line="300"/>
        <w:jc w:val="both"/>
      </w:pPr>
      <w:r>
        <w:rPr>
          <w:rFonts w:ascii="Calibri" w:cs="Calibri" w:eastAsia="Calibri" w:hAnsi="Calibri"/>
          <w:sz w:val="22"/>
          <w:szCs w:val="22"/>
        </w:rPr>
        <w:t xml:space="preserve">Upon investor commitments being confirmed and capital transferred, the establishment phase described in Phase 2 begins immediately, with the first team member interviews scheduled within days of capital availability. Ninety days after funding, the company is operational, the first client engagements are in progress, and the business is on the trajectory described in this plan.</w:t>
      </w:r>
    </w:p>
    <w:p>
      <w:pPr>
        <w:pBdr>
          <w:left w:val="single" w:color="2E75B6" w:sz="24" w:space="12"/>
        </w:pBdr>
        <w:spacing w:after="160" w:before="160" w:line="300"/>
        <w:ind w:left="360" w:right="360"/>
      </w:pPr>
      <w:r>
        <w:rPr>
          <w:rFonts w:ascii="Calibri" w:cs="Calibri" w:eastAsia="Calibri" w:hAnsi="Calibri"/>
          <w:i/>
          <w:iCs/>
          <w:color w:val="2E75B6"/>
          <w:sz w:val="22"/>
          <w:szCs w:val="22"/>
        </w:rPr>
        <w:t xml:space="preserve">This plan is complete. What remains is execution, and execution begins with the first conversation.</w:t>
      </w:r>
    </w:p>
    <w:p>
      <w:pPr>
        <w:pStyle w:val="Heading1"/>
        <w:pageBreakBefore/>
        <w:spacing w:after="240" w:before="400"/>
      </w:pPr>
      <w:r>
        <w:rPr>
          <w:rFonts w:ascii="Calibri" w:cs="Calibri" w:eastAsia="Calibri" w:hAnsi="Calibri"/>
          <w:b/>
          <w:bCs/>
          <w:color w:val="1F4E79"/>
          <w:sz w:val="36"/>
          <w:szCs w:val="36"/>
        </w:rPr>
        <w:t xml:space="preserve">Appendices</w:t>
      </w:r>
    </w:p>
    <w:p>
      <w:pPr>
        <w:pBdr>
          <w:left w:val="single" w:color="2E75B6" w:sz="24" w:space="12"/>
        </w:pBdr>
        <w:spacing w:after="160" w:before="160" w:line="300"/>
        <w:ind w:left="360" w:right="360"/>
      </w:pPr>
      <w:r>
        <w:rPr>
          <w:rFonts w:ascii="Calibri" w:cs="Calibri" w:eastAsia="Calibri" w:hAnsi="Calibri"/>
          <w:i/>
          <w:iCs/>
          <w:color w:val="2E75B6"/>
          <w:sz w:val="22"/>
          <w:szCs w:val="22"/>
        </w:rPr>
        <w:t xml:space="preserve">Supporting materials and reference tables that supplement the main business plan.</w:t>
      </w:r>
    </w:p>
    <w:p>
      <w:pPr>
        <w:pStyle w:val="Heading2"/>
        <w:spacing w:after="160" w:before="280"/>
      </w:pPr>
      <w:r>
        <w:rPr>
          <w:rFonts w:ascii="Calibri" w:cs="Calibri" w:eastAsia="Calibri" w:hAnsi="Calibri"/>
          <w:b/>
          <w:bCs/>
          <w:color w:val="2E75B6"/>
          <w:sz w:val="28"/>
          <w:szCs w:val="28"/>
        </w:rPr>
        <w:t xml:space="preserve">Appendix A: Startup Cost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60"/>
        <w:gridCol w:w="2260"/>
        <w:gridCol w:w="2240"/>
      </w:tblGrid>
      <w:tr>
        <w:trPr>
          <w:tblHeader/>
        </w:trPr>
        <w:tc>
          <w:tcPr>
            <w:tcW w:type="dxa" w:w="26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Item</w:t>
            </w:r>
          </w:p>
        </w:tc>
        <w:tc>
          <w:tcPr>
            <w:tcW w:type="dxa" w:w="226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Low</w:t>
            </w:r>
          </w:p>
        </w:tc>
        <w:tc>
          <w:tcPr>
            <w:tcW w:type="dxa" w:w="226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High</w:t>
            </w:r>
          </w:p>
        </w:tc>
        <w:tc>
          <w:tcPr>
            <w:tcW w:type="dxa" w:w="224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Target</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Equipment Phase 1</w:t>
            </w:r>
          </w:p>
        </w:tc>
        <w:tc>
          <w:tcPr>
            <w:tcW w:type="dxa" w:w="2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$6,900</w:t>
            </w:r>
          </w:p>
        </w:tc>
        <w:tc>
          <w:tcPr>
            <w:tcW w:type="dxa" w:w="2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$8,500</w:t>
            </w:r>
          </w:p>
        </w:tc>
        <w:tc>
          <w:tcPr>
            <w:tcW w:type="dxa" w:w="2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$7,700</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Networking</w:t>
            </w:r>
          </w:p>
        </w:tc>
        <w:tc>
          <w:tcPr>
            <w:tcW w:type="dxa" w:w="22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$240</w:t>
            </w:r>
          </w:p>
        </w:tc>
        <w:tc>
          <w:tcPr>
            <w:tcW w:type="dxa" w:w="22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$370</w:t>
            </w:r>
          </w:p>
        </w:tc>
        <w:tc>
          <w:tcPr>
            <w:tcW w:type="dxa" w:w="22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$300</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Furniture and AC</w:t>
            </w:r>
          </w:p>
        </w:tc>
        <w:tc>
          <w:tcPr>
            <w:tcW w:type="dxa" w:w="2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$1,700</w:t>
            </w:r>
          </w:p>
        </w:tc>
        <w:tc>
          <w:tcPr>
            <w:tcW w:type="dxa" w:w="2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$2,800</w:t>
            </w:r>
          </w:p>
        </w:tc>
        <w:tc>
          <w:tcPr>
            <w:tcW w:type="dxa" w:w="2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$2,200</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NAS and Storage</w:t>
            </w:r>
          </w:p>
        </w:tc>
        <w:tc>
          <w:tcPr>
            <w:tcW w:type="dxa" w:w="22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$900</w:t>
            </w:r>
          </w:p>
        </w:tc>
        <w:tc>
          <w:tcPr>
            <w:tcW w:type="dxa" w:w="22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$1,200</w:t>
            </w:r>
          </w:p>
        </w:tc>
        <w:tc>
          <w:tcPr>
            <w:tcW w:type="dxa" w:w="22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$1,000</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Solar Inverter</w:t>
            </w:r>
          </w:p>
        </w:tc>
        <w:tc>
          <w:tcPr>
            <w:tcW w:type="dxa" w:w="2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$1,500</w:t>
            </w:r>
          </w:p>
        </w:tc>
        <w:tc>
          <w:tcPr>
            <w:tcW w:type="dxa" w:w="2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$3,000</w:t>
            </w:r>
          </w:p>
        </w:tc>
        <w:tc>
          <w:tcPr>
            <w:tcW w:type="dxa" w:w="2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$2,000</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Software (3 months)</w:t>
            </w:r>
          </w:p>
        </w:tc>
        <w:tc>
          <w:tcPr>
            <w:tcW w:type="dxa" w:w="22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$450</w:t>
            </w:r>
          </w:p>
        </w:tc>
        <w:tc>
          <w:tcPr>
            <w:tcW w:type="dxa" w:w="22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$900</w:t>
            </w:r>
          </w:p>
        </w:tc>
        <w:tc>
          <w:tcPr>
            <w:tcW w:type="dxa" w:w="22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$700</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Office Setup</w:t>
            </w:r>
          </w:p>
        </w:tc>
        <w:tc>
          <w:tcPr>
            <w:tcW w:type="dxa" w:w="2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$300</w:t>
            </w:r>
          </w:p>
        </w:tc>
        <w:tc>
          <w:tcPr>
            <w:tcW w:type="dxa" w:w="2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$500</w:t>
            </w:r>
          </w:p>
        </w:tc>
        <w:tc>
          <w:tcPr>
            <w:tcW w:type="dxa" w:w="2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$400</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Legal and Registration</w:t>
            </w:r>
          </w:p>
        </w:tc>
        <w:tc>
          <w:tcPr>
            <w:tcW w:type="dxa" w:w="22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$300</w:t>
            </w:r>
          </w:p>
        </w:tc>
        <w:tc>
          <w:tcPr>
            <w:tcW w:type="dxa" w:w="22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$600</w:t>
            </w:r>
          </w:p>
        </w:tc>
        <w:tc>
          <w:tcPr>
            <w:tcW w:type="dxa" w:w="22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$450</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Marketing Launch</w:t>
            </w:r>
          </w:p>
        </w:tc>
        <w:tc>
          <w:tcPr>
            <w:tcW w:type="dxa" w:w="2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$400</w:t>
            </w:r>
          </w:p>
        </w:tc>
        <w:tc>
          <w:tcPr>
            <w:tcW w:type="dxa" w:w="2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$700</w:t>
            </w:r>
          </w:p>
        </w:tc>
        <w:tc>
          <w:tcPr>
            <w:tcW w:type="dxa" w:w="2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$500</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Contingency Reserve</w:t>
            </w:r>
          </w:p>
        </w:tc>
        <w:tc>
          <w:tcPr>
            <w:tcW w:type="dxa" w:w="22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$2,000</w:t>
            </w:r>
          </w:p>
        </w:tc>
        <w:tc>
          <w:tcPr>
            <w:tcW w:type="dxa" w:w="22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$2,500</w:t>
            </w:r>
          </w:p>
        </w:tc>
        <w:tc>
          <w:tcPr>
            <w:tcW w:type="dxa" w:w="22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$2,200</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TOTAL STARTUP COSTS</w:t>
            </w:r>
          </w:p>
        </w:tc>
        <w:tc>
          <w:tcPr>
            <w:tcW w:type="dxa" w:w="2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$14,690</w:t>
            </w:r>
          </w:p>
        </w:tc>
        <w:tc>
          <w:tcPr>
            <w:tcW w:type="dxa" w:w="2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$21,070</w:t>
            </w:r>
          </w:p>
        </w:tc>
        <w:tc>
          <w:tcPr>
            <w:tcW w:type="dxa" w:w="2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$17,450</w:t>
            </w:r>
          </w:p>
        </w:tc>
      </w:tr>
    </w:tbl>
    <w:p>
      <w:pPr>
        <w:pStyle w:val="Heading2"/>
        <w:spacing w:after="160" w:before="280"/>
      </w:pPr>
      <w:r>
        <w:rPr>
          <w:rFonts w:ascii="Calibri" w:cs="Calibri" w:eastAsia="Calibri" w:hAnsi="Calibri"/>
          <w:b/>
          <w:bCs/>
          <w:color w:val="2E75B6"/>
          <w:sz w:val="28"/>
          <w:szCs w:val="28"/>
        </w:rPr>
        <w:t xml:space="preserve">Appendix B: Monthly Operating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Line Item</w:t>
            </w:r>
          </w:p>
        </w:tc>
        <w:tc>
          <w:tcPr>
            <w:tcW w:type="dxa" w:w="336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Amount (USD)</w:t>
            </w:r>
          </w:p>
        </w:tc>
      </w:tr>
      <w:tr>
        <w:tc>
          <w:tcPr>
            <w:tcW w:type="dxa" w:w="6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Tech Lead</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$700</w:t>
            </w:r>
          </w:p>
        </w:tc>
      </w:tr>
      <w:tr>
        <w:tc>
          <w:tcPr>
            <w:tcW w:type="dxa" w:w="6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AI Engineer</w:t>
            </w:r>
          </w:p>
        </w:tc>
        <w:tc>
          <w:tcPr>
            <w:tcW w:type="dxa" w:w="3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$500</w:t>
            </w:r>
          </w:p>
        </w:tc>
      </w:tr>
      <w:tr>
        <w:tc>
          <w:tcPr>
            <w:tcW w:type="dxa" w:w="6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Full-Stack Developer</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$450</w:t>
            </w:r>
          </w:p>
        </w:tc>
      </w:tr>
      <w:tr>
        <w:tc>
          <w:tcPr>
            <w:tcW w:type="dxa" w:w="6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Designer</w:t>
            </w:r>
          </w:p>
        </w:tc>
        <w:tc>
          <w:tcPr>
            <w:tcW w:type="dxa" w:w="3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$350</w:t>
            </w:r>
          </w:p>
        </w:tc>
      </w:tr>
      <w:tr>
        <w:tc>
          <w:tcPr>
            <w:tcW w:type="dxa" w:w="6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Sales Representative (base)</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$300</w:t>
            </w:r>
          </w:p>
        </w:tc>
      </w:tr>
      <w:tr>
        <w:tc>
          <w:tcPr>
            <w:tcW w:type="dxa" w:w="6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Subtotal Salaries</w:t>
            </w:r>
          </w:p>
        </w:tc>
        <w:tc>
          <w:tcPr>
            <w:tcW w:type="dxa" w:w="3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$2,300</w:t>
            </w:r>
          </w:p>
        </w:tc>
      </w:tr>
      <w:tr>
        <w:tc>
          <w:tcPr>
            <w:tcW w:type="dxa" w:w="6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Software Subscriptions</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$200</w:t>
            </w:r>
          </w:p>
        </w:tc>
      </w:tr>
      <w:tr>
        <w:tc>
          <w:tcPr>
            <w:tcW w:type="dxa" w:w="6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Internet</w:t>
            </w:r>
          </w:p>
        </w:tc>
        <w:tc>
          <w:tcPr>
            <w:tcW w:type="dxa" w:w="3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$80</w:t>
            </w:r>
          </w:p>
        </w:tc>
      </w:tr>
      <w:tr>
        <w:tc>
          <w:tcPr>
            <w:tcW w:type="dxa" w:w="6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Electricity and Utilities</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$100</w:t>
            </w:r>
          </w:p>
        </w:tc>
      </w:tr>
      <w:tr>
        <w:tc>
          <w:tcPr>
            <w:tcW w:type="dxa" w:w="6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Marketing</w:t>
            </w:r>
          </w:p>
        </w:tc>
        <w:tc>
          <w:tcPr>
            <w:tcW w:type="dxa" w:w="3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$150</w:t>
            </w:r>
          </w:p>
        </w:tc>
      </w:tr>
      <w:tr>
        <w:tc>
          <w:tcPr>
            <w:tcW w:type="dxa" w:w="6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Miscellaneous</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$170</w:t>
            </w:r>
          </w:p>
        </w:tc>
      </w:tr>
      <w:tr>
        <w:tc>
          <w:tcPr>
            <w:tcW w:type="dxa" w:w="6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TOTAL MONTHLY FIXED COSTS</w:t>
            </w:r>
          </w:p>
        </w:tc>
        <w:tc>
          <w:tcPr>
            <w:tcW w:type="dxa" w:w="3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$3,000</w:t>
            </w:r>
          </w:p>
        </w:tc>
      </w:tr>
    </w:tbl>
    <w:p>
      <w:pPr>
        <w:pStyle w:val="Heading2"/>
        <w:spacing w:after="160" w:before="280"/>
      </w:pPr>
      <w:r>
        <w:rPr>
          <w:rFonts w:ascii="Calibri" w:cs="Calibri" w:eastAsia="Calibri" w:hAnsi="Calibri"/>
          <w:b/>
          <w:bCs/>
          <w:color w:val="2E75B6"/>
          <w:sz w:val="28"/>
          <w:szCs w:val="28"/>
        </w:rPr>
        <w:t xml:space="preserve">Appendix C: Team Compensation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60"/>
        <w:gridCol w:w="350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Role</w:t>
            </w:r>
          </w:p>
        </w:tc>
        <w:tc>
          <w:tcPr>
            <w:tcW w:type="dxa" w:w="286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Base Monthly</w:t>
            </w:r>
          </w:p>
        </w:tc>
        <w:tc>
          <w:tcPr>
            <w:tcW w:type="dxa" w:w="35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Variable</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Tech Lead</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$600–800</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Delivery bonus + profit share</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AI Engineer</w:t>
            </w:r>
          </w:p>
        </w:tc>
        <w:tc>
          <w:tcPr>
            <w:tcW w:type="dxa" w:w="28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$450–600</w:t>
            </w:r>
          </w:p>
        </w:tc>
        <w:tc>
          <w:tcPr>
            <w:tcW w:type="dxa" w:w="3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Project bonus + profit share</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Full-Stack Developer</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$400–550</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Project bonus + profit share</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Designer</w:t>
            </w:r>
          </w:p>
        </w:tc>
        <w:tc>
          <w:tcPr>
            <w:tcW w:type="dxa" w:w="28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$300–500</w:t>
            </w:r>
          </w:p>
        </w:tc>
        <w:tc>
          <w:tcPr>
            <w:tcW w:type="dxa" w:w="3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Creative bonus + profit share</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Sales Representative</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$300–400</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5–10% commission + profit share</w:t>
            </w:r>
          </w:p>
        </w:tc>
      </w:tr>
    </w:tbl>
    <w:p>
      <w:pPr>
        <w:pStyle w:val="Heading2"/>
        <w:spacing w:after="160" w:before="280"/>
      </w:pPr>
      <w:r>
        <w:rPr>
          <w:rFonts w:ascii="Calibri" w:cs="Calibri" w:eastAsia="Calibri" w:hAnsi="Calibri"/>
          <w:b/>
          <w:bCs/>
          <w:color w:val="2E75B6"/>
          <w:sz w:val="28"/>
          <w:szCs w:val="28"/>
        </w:rPr>
        <w:t xml:space="preserve">Appendix D: Service Pricing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Service</w:t>
            </w:r>
          </w:p>
        </w:tc>
        <w:tc>
          <w:tcPr>
            <w:tcW w:type="dxa" w:w="436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Price Range</w:t>
            </w:r>
          </w:p>
        </w:tc>
      </w:tr>
      <w:tr>
        <w:tc>
          <w:tcPr>
            <w:tcW w:type="dxa" w:w="5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Business Process Automation</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$500–3,000</w:t>
            </w:r>
          </w:p>
        </w:tc>
      </w:tr>
      <w:tr>
        <w:tc>
          <w:tcPr>
            <w:tcW w:type="dxa" w:w="5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AI Chatbot</w:t>
            </w:r>
          </w:p>
        </w:tc>
        <w:tc>
          <w:tcPr>
            <w:tcW w:type="dxa" w:w="4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$300–1,500 + $100/mo</w:t>
            </w:r>
          </w:p>
        </w:tc>
      </w:tr>
      <w:tr>
        <w:tc>
          <w:tcPr>
            <w:tcW w:type="dxa" w:w="5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AI-Powered Website</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$500–2,000</w:t>
            </w:r>
          </w:p>
        </w:tc>
      </w:tr>
      <w:tr>
        <w:tc>
          <w:tcPr>
            <w:tcW w:type="dxa" w:w="5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Document Intelligence</w:t>
            </w:r>
          </w:p>
        </w:tc>
        <w:tc>
          <w:tcPr>
            <w:tcW w:type="dxa" w:w="4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$500–2,000</w:t>
            </w:r>
          </w:p>
        </w:tc>
      </w:tr>
      <w:tr>
        <w:tc>
          <w:tcPr>
            <w:tcW w:type="dxa" w:w="5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AI Strategy Consultation</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$100–300/session</w:t>
            </w:r>
          </w:p>
        </w:tc>
      </w:tr>
      <w:tr>
        <w:tc>
          <w:tcPr>
            <w:tcW w:type="dxa" w:w="5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Custom ERP System</w:t>
            </w:r>
          </w:p>
        </w:tc>
        <w:tc>
          <w:tcPr>
            <w:tcW w:type="dxa" w:w="4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$3,000–15,000</w:t>
            </w:r>
          </w:p>
        </w:tc>
      </w:tr>
      <w:tr>
        <w:tc>
          <w:tcPr>
            <w:tcW w:type="dxa" w:w="5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Offline Camera AI Monitoring</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$2,000–8,000 + $150–300/mo</w:t>
            </w:r>
          </w:p>
        </w:tc>
      </w:tr>
      <w:tr>
        <w:tc>
          <w:tcPr>
            <w:tcW w:type="dxa" w:w="5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AI Inventory Intelligence</w:t>
            </w:r>
          </w:p>
        </w:tc>
        <w:tc>
          <w:tcPr>
            <w:tcW w:type="dxa" w:w="4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$1,500–5,000</w:t>
            </w:r>
          </w:p>
        </w:tc>
      </w:tr>
      <w:tr>
        <w:tc>
          <w:tcPr>
            <w:tcW w:type="dxa" w:w="5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Offline LLM Deployment</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$1,000–4,000</w:t>
            </w:r>
          </w:p>
        </w:tc>
      </w:tr>
      <w:tr>
        <w:tc>
          <w:tcPr>
            <w:tcW w:type="dxa" w:w="5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Arabic Content Generation</w:t>
            </w:r>
          </w:p>
        </w:tc>
        <w:tc>
          <w:tcPr>
            <w:tcW w:type="dxa" w:w="4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$200–800/mo</w:t>
            </w:r>
          </w:p>
        </w:tc>
      </w:tr>
    </w:tbl>
    <w:p>
      <w:pPr>
        <w:pStyle w:val="Heading2"/>
        <w:spacing w:after="160" w:before="280"/>
      </w:pPr>
      <w:r>
        <w:rPr>
          <w:rFonts w:ascii="Calibri" w:cs="Calibri" w:eastAsia="Calibri" w:hAnsi="Calibri"/>
          <w:b/>
          <w:bCs/>
          <w:color w:val="2E75B6"/>
          <w:sz w:val="28"/>
          <w:szCs w:val="28"/>
        </w:rPr>
        <w:t xml:space="preserve">Appendix E: Equity Structure at Month 12 Conversion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500"/>
        <w:gridCol w:w="2260"/>
      </w:tblGrid>
      <w:tr>
        <w:trPr>
          <w:tblHeader/>
        </w:trPr>
        <w:tc>
          <w:tcPr>
            <w:tcW w:type="dxa" w:w="36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Party</w:t>
            </w:r>
          </w:p>
        </w:tc>
        <w:tc>
          <w:tcPr>
            <w:tcW w:type="dxa" w:w="35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Contribution Type</w:t>
            </w:r>
          </w:p>
        </w:tc>
        <w:tc>
          <w:tcPr>
            <w:tcW w:type="dxa" w:w="226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Equity %</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Founder / General Manager</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In-kind plus management role</w:t>
            </w:r>
          </w:p>
        </w:tc>
        <w:tc>
          <w:tcPr>
            <w:tcW w:type="dxa" w:w="2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40%</w:t>
            </w:r>
          </w:p>
        </w:tc>
      </w:tr>
      <w:tr>
        <w:tc>
          <w:tcPr>
            <w:tcW w:type="dxa" w:w="3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Investor 1</w:t>
            </w:r>
          </w:p>
        </w:tc>
        <w:tc>
          <w:tcPr>
            <w:tcW w:type="dxa" w:w="3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$13,000 cash</w:t>
            </w:r>
          </w:p>
        </w:tc>
        <w:tc>
          <w:tcPr>
            <w:tcW w:type="dxa" w:w="22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28%</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Investor 2</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$13,000 cash</w:t>
            </w:r>
          </w:p>
        </w:tc>
        <w:tc>
          <w:tcPr>
            <w:tcW w:type="dxa" w:w="2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28%</w:t>
            </w:r>
          </w:p>
        </w:tc>
      </w:tr>
      <w:tr>
        <w:tc>
          <w:tcPr>
            <w:tcW w:type="dxa" w:w="3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Team Equity Pool</w:t>
            </w:r>
          </w:p>
        </w:tc>
        <w:tc>
          <w:tcPr>
            <w:tcW w:type="dxa" w:w="3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Performance-based, earned</w:t>
            </w:r>
          </w:p>
        </w:tc>
        <w:tc>
          <w:tcPr>
            <w:tcW w:type="dxa" w:w="22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4%</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TOTAL</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
            </w:r>
          </w:p>
        </w:tc>
        <w:tc>
          <w:tcPr>
            <w:tcW w:type="dxa" w:w="2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100%</w:t>
            </w:r>
          </w:p>
        </w:tc>
      </w:tr>
    </w:tbl>
    <w:p>
      <w:pPr>
        <w:pStyle w:val="Heading2"/>
        <w:spacing w:after="160" w:before="280"/>
      </w:pPr>
      <w:r>
        <w:rPr>
          <w:rFonts w:ascii="Calibri" w:cs="Calibri" w:eastAsia="Calibri" w:hAnsi="Calibri"/>
          <w:b/>
          <w:bCs/>
          <w:color w:val="2E75B6"/>
          <w:sz w:val="28"/>
          <w:szCs w:val="28"/>
        </w:rPr>
        <w:t xml:space="preserve">Appendix F: Revenue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430"/>
        <w:gridCol w:w="2430"/>
      </w:tblGrid>
      <w:tr>
        <w:trPr>
          <w:tblHeader/>
        </w:trPr>
        <w:tc>
          <w:tcPr>
            <w:tcW w:type="dxa" w:w="20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Month</w:t>
            </w:r>
          </w:p>
        </w:tc>
        <w:tc>
          <w:tcPr>
            <w:tcW w:type="dxa" w:w="25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Conservative</w:t>
            </w:r>
          </w:p>
        </w:tc>
        <w:tc>
          <w:tcPr>
            <w:tcW w:type="dxa" w:w="243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Realistic</w:t>
            </w:r>
          </w:p>
        </w:tc>
        <w:tc>
          <w:tcPr>
            <w:tcW w:type="dxa" w:w="243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Optimistic</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Month 3</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$800</w:t>
            </w:r>
          </w:p>
        </w:tc>
        <w:tc>
          <w:tcPr>
            <w:tcW w:type="dxa" w:w="243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$1,500</w:t>
            </w:r>
          </w:p>
        </w:tc>
        <w:tc>
          <w:tcPr>
            <w:tcW w:type="dxa" w:w="243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$3,000</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Month 6</w:t>
            </w:r>
          </w:p>
        </w:tc>
        <w:tc>
          <w:tcPr>
            <w:tcW w:type="dxa" w:w="2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$3,500</w:t>
            </w:r>
          </w:p>
        </w:tc>
        <w:tc>
          <w:tcPr>
            <w:tcW w:type="dxa" w:w="243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$6,500</w:t>
            </w:r>
          </w:p>
        </w:tc>
        <w:tc>
          <w:tcPr>
            <w:tcW w:type="dxa" w:w="243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$10,000</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Month 9</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$5,000</w:t>
            </w:r>
          </w:p>
        </w:tc>
        <w:tc>
          <w:tcPr>
            <w:tcW w:type="dxa" w:w="243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$10,000</w:t>
            </w:r>
          </w:p>
        </w:tc>
        <w:tc>
          <w:tcPr>
            <w:tcW w:type="dxa" w:w="243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$18,000</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Month 12</w:t>
            </w:r>
          </w:p>
        </w:tc>
        <w:tc>
          <w:tcPr>
            <w:tcW w:type="dxa" w:w="2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$7,000</w:t>
            </w:r>
          </w:p>
        </w:tc>
        <w:tc>
          <w:tcPr>
            <w:tcW w:type="dxa" w:w="243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$15,000</w:t>
            </w:r>
          </w:p>
        </w:tc>
        <w:tc>
          <w:tcPr>
            <w:tcW w:type="dxa" w:w="243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$25,000</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Month 18</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$10,000</w:t>
            </w:r>
          </w:p>
        </w:tc>
        <w:tc>
          <w:tcPr>
            <w:tcW w:type="dxa" w:w="243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$22,000</w:t>
            </w:r>
          </w:p>
        </w:tc>
        <w:tc>
          <w:tcPr>
            <w:tcW w:type="dxa" w:w="243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$35,000</w:t>
            </w:r>
          </w:p>
        </w:tc>
      </w:tr>
    </w:tbl>
    <w:p>
      <w:pPr>
        <w:pStyle w:val="Heading2"/>
        <w:spacing w:after="160" w:before="280"/>
      </w:pPr>
      <w:r>
        <w:rPr>
          <w:rFonts w:ascii="Calibri" w:cs="Calibri" w:eastAsia="Calibri" w:hAnsi="Calibri"/>
          <w:b/>
          <w:bCs/>
          <w:color w:val="2E75B6"/>
          <w:sz w:val="28"/>
          <w:szCs w:val="28"/>
        </w:rPr>
        <w:t xml:space="preserve">Appendix G: Key Investor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Metric</w:t>
            </w:r>
          </w:p>
        </w:tc>
        <w:tc>
          <w:tcPr>
            <w:tcW w:type="dxa" w:w="436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Value</w:t>
            </w:r>
          </w:p>
        </w:tc>
      </w:tr>
      <w:tr>
        <w:tc>
          <w:tcPr>
            <w:tcW w:type="dxa" w:w="5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Total capital required</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$38,500</w:t>
            </w:r>
          </w:p>
        </w:tc>
      </w:tr>
      <w:tr>
        <w:tc>
          <w:tcPr>
            <w:tcW w:type="dxa" w:w="5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Cash investment needed</w:t>
            </w:r>
          </w:p>
        </w:tc>
        <w:tc>
          <w:tcPr>
            <w:tcW w:type="dxa" w:w="4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$26,000 ($13,000 × 2)</w:t>
            </w:r>
          </w:p>
        </w:tc>
      </w:tr>
      <w:tr>
        <w:tc>
          <w:tcPr>
            <w:tcW w:type="dxa" w:w="5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Founder in-kind contribution value</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~$5,700 over 6 months</w:t>
            </w:r>
          </w:p>
        </w:tc>
      </w:tr>
      <w:tr>
        <w:tc>
          <w:tcPr>
            <w:tcW w:type="dxa" w:w="5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Monthly fixed operating cost</w:t>
            </w:r>
          </w:p>
        </w:tc>
        <w:tc>
          <w:tcPr>
            <w:tcW w:type="dxa" w:w="4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$3,000</w:t>
            </w:r>
          </w:p>
        </w:tc>
      </w:tr>
      <w:tr>
        <w:tc>
          <w:tcPr>
            <w:tcW w:type="dxa" w:w="5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Monthly break-even revenue</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$3,000</w:t>
            </w:r>
          </w:p>
        </w:tc>
      </w:tr>
      <w:tr>
        <w:tc>
          <w:tcPr>
            <w:tcW w:type="dxa" w:w="5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Projected Month 12 revenue (realistic)</w:t>
            </w:r>
          </w:p>
        </w:tc>
        <w:tc>
          <w:tcPr>
            <w:tcW w:type="dxa" w:w="4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$15,000</w:t>
            </w:r>
          </w:p>
        </w:tc>
      </w:tr>
      <w:tr>
        <w:tc>
          <w:tcPr>
            <w:tcW w:type="dxa" w:w="5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Projected Month 12 profit (realistic)</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$10,000–11,000</w:t>
            </w:r>
          </w:p>
        </w:tc>
      </w:tr>
      <w:tr>
        <w:tc>
          <w:tcPr>
            <w:tcW w:type="dxa" w:w="5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Projected investor ROI at Month 18 (realistic)</w:t>
            </w:r>
          </w:p>
        </w:tc>
        <w:tc>
          <w:tcPr>
            <w:tcW w:type="dxa" w:w="4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150–200%</w:t>
            </w:r>
          </w:p>
        </w:tc>
      </w:tr>
      <w:tr>
        <w:tc>
          <w:tcPr>
            <w:tcW w:type="dxa" w:w="5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Payback period (realistic)</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14–18 months</w:t>
            </w:r>
          </w:p>
        </w:tc>
      </w:tr>
      <w:tr>
        <w:tc>
          <w:tcPr>
            <w:tcW w:type="dxa" w:w="5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Investor return per quarter (Month 6+, realistic)</w:t>
            </w:r>
          </w:p>
        </w:tc>
        <w:tc>
          <w:tcPr>
            <w:tcW w:type="dxa" w:w="4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20% of net profit each</w:t>
            </w:r>
          </w:p>
        </w:tc>
      </w:tr>
    </w:tbl>
    <w:p>
      <w:pPr>
        <w:pStyle w:val="Heading2"/>
        <w:spacing w:after="160" w:before="280"/>
      </w:pPr>
      <w:r>
        <w:rPr>
          <w:rFonts w:ascii="Calibri" w:cs="Calibri" w:eastAsia="Calibri" w:hAnsi="Calibri"/>
          <w:b/>
          <w:bCs/>
          <w:color w:val="2E75B6"/>
          <w:sz w:val="28"/>
          <w:szCs w:val="28"/>
        </w:rPr>
        <w:t xml:space="preserve">Appendix H: Risk Register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60"/>
      </w:tblGrid>
      <w:tr>
        <w:trPr>
          <w:tblHeader/>
        </w:trPr>
        <w:tc>
          <w:tcPr>
            <w:tcW w:type="dxa" w:w="40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Risk Category</w:t>
            </w:r>
          </w:p>
        </w:tc>
        <w:tc>
          <w:tcPr>
            <w:tcW w:type="dxa" w:w="20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Count</w:t>
            </w:r>
          </w:p>
        </w:tc>
        <w:tc>
          <w:tcPr>
            <w:tcW w:type="dxa" w:w="336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Status</w:t>
            </w:r>
          </w:p>
        </w:tc>
      </w:tr>
      <w:tr>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Technical Risks</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3</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All mitigated</w:t>
            </w:r>
          </w:p>
        </w:tc>
      </w:tr>
      <w:tr>
        <w:tc>
          <w:tcPr>
            <w:tcW w:type="dxa" w:w="4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Market Risks</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3</w:t>
            </w:r>
          </w:p>
        </w:tc>
        <w:tc>
          <w:tcPr>
            <w:tcW w:type="dxa" w:w="3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All mitigated</w:t>
            </w:r>
          </w:p>
        </w:tc>
      </w:tr>
      <w:tr>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Team Risks</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3</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All mitigated</w:t>
            </w:r>
          </w:p>
        </w:tc>
      </w:tr>
      <w:tr>
        <w:tc>
          <w:tcPr>
            <w:tcW w:type="dxa" w:w="4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Financial Risks</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2</w:t>
            </w:r>
          </w:p>
        </w:tc>
        <w:tc>
          <w:tcPr>
            <w:tcW w:type="dxa" w:w="3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All mitigated</w:t>
            </w:r>
          </w:p>
        </w:tc>
      </w:tr>
      <w:tr>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Iraq-Specific Risks</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3</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All mitigated</w:t>
            </w:r>
          </w:p>
        </w:tc>
      </w:tr>
      <w:tr>
        <w:tc>
          <w:tcPr>
            <w:tcW w:type="dxa" w:w="4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TOTAL IDENTIFIED RISKS</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14</w:t>
            </w:r>
          </w:p>
        </w:tc>
        <w:tc>
          <w:tcPr>
            <w:tcW w:type="dxa" w:w="3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Each with specific mitigation plan</w:t>
            </w:r>
          </w:p>
        </w:tc>
      </w:tr>
    </w:tbl>
    <w:p>
      <w:pPr>
        <w:pStyle w:val="Heading2"/>
        <w:spacing w:after="160" w:before="280"/>
      </w:pPr>
      <w:r>
        <w:rPr>
          <w:rFonts w:ascii="Calibri" w:cs="Calibri" w:eastAsia="Calibri" w:hAnsi="Calibri"/>
          <w:b/>
          <w:bCs/>
          <w:color w:val="2E75B6"/>
          <w:sz w:val="28"/>
          <w:szCs w:val="28"/>
        </w:rPr>
        <w:t xml:space="preserve">Appendix I: Implementation Timeline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Timeframe</w:t>
            </w:r>
          </w:p>
        </w:tc>
        <w:tc>
          <w:tcPr>
            <w:tcW w:type="dxa" w:w="636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Milestone</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Week 1–4</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Investor outreach and commitment</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Week 5–8</w:t>
            </w:r>
          </w:p>
        </w:tc>
        <w:tc>
          <w:tcPr>
            <w:tcW w:type="dxa" w:w="6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Registration, hiring, equipment, office setup</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Month 2</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Team onboarding and practice projects</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Month 3</w:t>
            </w:r>
          </w:p>
        </w:tc>
        <w:tc>
          <w:tcPr>
            <w:tcW w:type="dxa" w:w="6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Market entry and first client engagement</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Month 4–5</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Break-even reached (realistic scenario)</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Month 6</w:t>
            </w:r>
          </w:p>
        </w:tc>
        <w:tc>
          <w:tcPr>
            <w:tcW w:type="dxa" w:w="6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First quarterly profit distribution to investors</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Month 9</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Pricing review and upward adjustment</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Month 12</w:t>
            </w:r>
          </w:p>
        </w:tc>
        <w:tc>
          <w:tcPr>
            <w:tcW w:type="dxa" w:w="6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Strategic review, equity conversion, expansion planning</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Month 14–16</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Full investment recovery (realistic scenario)</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Month 12–18</w:t>
            </w:r>
          </w:p>
        </w:tc>
        <w:tc>
          <w:tcPr>
            <w:tcW w:type="dxa" w:w="6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Geographic expansion to second city</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Month 18–24</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SaaS platform launch, team scaling, new services</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Month 24</w:t>
            </w:r>
          </w:p>
        </w:tc>
        <w:tc>
          <w:tcPr>
            <w:tcW w:type="dxa" w:w="6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val="false"/>
                <w:bCs w:val="false"/>
                <w:sz w:val="20"/>
                <w:szCs w:val="20"/>
              </w:rPr>
              <w:t xml:space="preserve">Company operating across 2–3 cities, recognized market position</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Calibri" w:cs="Calibri" w:eastAsia="Calibri" w:hAnsi="Calibri"/>
        <w:color w:val="595959"/>
        <w:sz w:val="18"/>
        <w:szCs w:val="18"/>
      </w:rPr>
      <w:t xml:space="preserve">AI Solutions Company Business Plan  |  Confidential  |  Page </w:t>
    </w:r>
    <w:r>
      <w:rPr>
        <w:rFonts w:ascii="Calibri" w:cs="Calibri" w:eastAsia="Calibri" w:hAnsi="Calibri"/>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0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00"/>
      <w:outlineLvl w:val="2"/>
    </w:pPr>
    <w:rPr>
      <w:rFonts w:ascii="Calibri" w:cs="Calibri" w:eastAsia="Calibri" w:hAnsi="Calibri"/>
      <w:b/>
      <w:bCs/>
      <w:color w:val="1F4E79"/>
      <w:sz w:val="24"/>
      <w:szCs w:val="24"/>
    </w:rPr>
  </w:style>
  <w:style w:type="paragraph" w:styleId="Heading4">
    <w:name w:val="Heading 4"/>
    <w:basedOn w:val="Normal"/>
    <w:next w:val="Normal"/>
    <w:qFormat/>
    <w:pPr>
      <w:spacing w:after="80" w:before="160"/>
      <w:outlineLvl w:val="3"/>
    </w:pPr>
    <w:rPr>
      <w:rFonts w:ascii="Calibri" w:cs="Calibri" w:eastAsia="Calibri" w:hAnsi="Calibri"/>
      <w:b/>
      <w:bCs/>
      <w:i/>
      <w:i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Solutions Company Business Plan</dc:title>
  <dc:creator>Claude</dc:creator>
  <dc:description>Comprehensive business plan for establishing an AI solutions company in Iraq</dc:description>
  <cp:lastModifiedBy>Un-named</cp:lastModifiedBy>
  <cp:revision>1</cp:revision>
  <dcterms:created xsi:type="dcterms:W3CDTF">2026-04-24T13:50:19.489Z</dcterms:created>
  <dcterms:modified xsi:type="dcterms:W3CDTF">2026-04-24T13:50:19.490Z</dcterms:modified>
</cp:coreProperties>
</file>

<file path=docProps/custom.xml><?xml version="1.0" encoding="utf-8"?>
<Properties xmlns="http://schemas.openxmlformats.org/officeDocument/2006/custom-properties" xmlns:vt="http://schemas.openxmlformats.org/officeDocument/2006/docPropsVTypes"/>
</file>