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0"/>
      </w:pPr>
      <w:r>
        <w:rPr>
          <w:rFonts w:ascii="Times New Roman" w:cs="Times New Roman" w:eastAsia="Times New Roman" w:hAnsi="Times New Roman"/>
          <w:b/>
          <w:bCs/>
          <w:sz w:val="28"/>
          <w:szCs w:val="28"/>
        </w:rPr>
        <w:t xml:space="preserve">1. INTRODUCTION AND BROAD AREA OF WORK</w:t>
      </w:r>
    </w:p>
    <w:p>
      <w:pPr>
        <w:spacing w:after="160" w:line="276"/>
        <w:jc w:val="both"/>
      </w:pPr>
      <w:r>
        <w:rPr>
          <w:rFonts w:ascii="Times New Roman" w:cs="Times New Roman" w:eastAsia="Times New Roman" w:hAnsi="Times New Roman"/>
          <w:b w:val="false"/>
          <w:bCs w:val="false"/>
          <w:i w:val="false"/>
          <w:iCs w:val="false"/>
          <w:sz w:val="24"/>
          <w:szCs w:val="24"/>
        </w:rPr>
        <w:t xml:space="preserve">Software quality assurance has automated a great deal of what was once manual regression testing, yet one activity has resisted that automation: the authoring of the end-to-end test scripts themselves. Turning an informal product requirement into a syntactically precise, assertion-rich automation script — one that exercises both the happy-path journey a user is expected to take through a feature and the edge cases most likely to expose a defect [11] — remains a task performed by a human engineer, and one that is repetitive, time-consuming, and sensitive to that engineer's familiarity with the specific application domain and test framework in use. It is this gap between a plainly stated requirement and a working test script that motivates the present research.</w:t>
      </w:r>
    </w:p>
    <w:p>
      <w:pPr>
        <w:spacing w:after="160" w:line="276"/>
        <w:jc w:val="both"/>
      </w:pPr>
      <w:r>
        <w:rPr>
          <w:rFonts w:ascii="Times New Roman" w:cs="Times New Roman" w:eastAsia="Times New Roman" w:hAnsi="Times New Roman"/>
          <w:b w:val="false"/>
          <w:bCs w:val="false"/>
          <w:i w:val="false"/>
          <w:iCs w:val="false"/>
          <w:sz w:val="24"/>
          <w:szCs w:val="24"/>
        </w:rPr>
        <w:t xml:space="preserve">Large language models trained on code have shown that a pre-trained transformer can produce output that is structurally plausible — code that reads as syntactically correct even where it is not necessarily logically correct — from a natural-language description alone [12]. A general-purpose model prompted with no task-specific grounding, however, has no exposure to the particular selector conventions, assertion idioms, and API surface mandated by a specific test framework such as Cypress [13] or Playwright [14]; zero-shot or few-shot prompting [12] of such a model typically yields scripts that are structurally incomplete, rely on deprecated APIs, or omit the assertions needed for the test to carry any real verification value. Closing this gap requires more than a better prompt: it requires the model to be grounded in the target framework's conventions and given a mechanism to check and correct its own output.</w:t>
      </w:r>
    </w:p>
    <w:p>
      <w:pPr>
        <w:spacing w:after="160" w:line="276"/>
        <w:jc w:val="both"/>
      </w:pPr>
      <w:r>
        <w:rPr>
          <w:rFonts w:ascii="Times New Roman" w:cs="Times New Roman" w:eastAsia="Times New Roman" w:hAnsi="Times New Roman"/>
          <w:b w:val="false"/>
          <w:bCs w:val="false"/>
          <w:i w:val="false"/>
          <w:iCs w:val="false"/>
          <w:sz w:val="24"/>
          <w:szCs w:val="24"/>
        </w:rPr>
        <w:t xml:space="preserve">This dissertation makes three complementary contributions toward that goal. A domain-specific dataset of 279 aligned user-story-and-test-script pairs was constructed through a structured, quality-validated generation pipeline, split evenly and independently between the Cypress and Playwright frameworks. Two open-weight language models, Phi-3 Mini and Gemma 4 E4B, were then adapted to this dataset under the QLoRA (Quantised Low-Rank Adaptation) parameter-efficient fine-tuning paradigm, producing one specialised adapter per model per framework so that no adapter is ever exposed to the syntax of the framework it was not trained for. Finally, an agentic Build–Measure–Assess–Decide (BMAD) correction loop was designed and implemented to autonomously generate, statically inspect, score, and — where necessary — iteratively revise each script until it meets a defined quality threshold or a maximum number of correction attempts is reached, removing the need for a human reviewer in the refinement cycle itself.</w:t>
      </w:r>
    </w:p>
    <w:p>
      <w:pPr>
        <w:spacing w:after="160" w:line="276"/>
        <w:jc w:val="both"/>
      </w:pPr>
      <w:r>
        <w:rPr>
          <w:rFonts w:ascii="Times New Roman" w:cs="Times New Roman" w:eastAsia="Times New Roman" w:hAnsi="Times New Roman"/>
          <w:b w:val="false"/>
          <w:bCs w:val="false"/>
          <w:i w:val="false"/>
          <w:iCs w:val="false"/>
          <w:sz w:val="24"/>
          <w:szCs w:val="24"/>
        </w:rPr>
        <w:t xml:space="preserve">The research sits at the intersection of AI-assisted software engineering and test automation, with direct practical relevance to organisations that maintain continuous integration pipelines under Agile delivery practices, where the marginal cost of authoring and maintaining end-to-end test coverage is a recurring constraint on release velocity. All eight phases of the work — dataset construction, baseline evaluation, fine-tuning, agentic-loop implementation, and comparative statistical evaluation — have been completed at the time of this report. Chapter 2 surveys the literature that motivates the specific design choices made; the chapters that follow describe the dataset construction methodology and system architecture, before Chapter 6 details the implementation, Chapter 7 reports the complete comparative evaluation across all systems studied, and Chapter 8 concludes with a synthesis of findings, limitations, and directions for future work.</w:t>
      </w:r>
    </w:p>
    <w:p>
      <w:pPr>
        <w:pStyle w:val="Heading1"/>
        <w:spacing w:after="200" w:before="360"/>
      </w:pPr>
      <w:r>
        <w:rPr>
          <w:rFonts w:ascii="Times New Roman" w:cs="Times New Roman" w:eastAsia="Times New Roman" w:hAnsi="Times New Roman"/>
          <w:b/>
          <w:bCs/>
          <w:sz w:val="28"/>
          <w:szCs w:val="28"/>
        </w:rPr>
        <w:t xml:space="preserve">2. LITERATURE REVIEW</w:t>
      </w:r>
    </w:p>
    <w:p>
      <w:pPr>
        <w:spacing w:after="160" w:line="276"/>
        <w:jc w:val="both"/>
      </w:pPr>
      <w:r>
        <w:rPr>
          <w:rFonts w:ascii="Times New Roman" w:cs="Times New Roman" w:eastAsia="Times New Roman" w:hAnsi="Times New Roman"/>
          <w:b w:val="false"/>
          <w:bCs w:val="false"/>
          <w:i w:val="false"/>
          <w:iCs w:val="false"/>
          <w:sz w:val="24"/>
          <w:szCs w:val="24"/>
        </w:rPr>
        <w:t xml:space="preserve">This chapter surveys three bodies of literature that together frame the design of the system described in this dissertation: LLM-driven code and test generation, parameter-efficient fine-tuning, and agentic self-correcting AI architectures. Each is examined for what it establishes and, more importantly, for what it leaves unaddressed with respect to the specific problem this dissertation tackles.</w:t>
      </w:r>
    </w:p>
    <w:p>
      <w:pPr>
        <w:spacing w:after="160" w:line="276"/>
        <w:jc w:val="both"/>
      </w:pPr>
      <w:r>
        <w:rPr>
          <w:rFonts w:ascii="Times New Roman" w:cs="Times New Roman" w:eastAsia="Times New Roman" w:hAnsi="Times New Roman"/>
          <w:b w:val="false"/>
          <w:bCs w:val="false"/>
          <w:i w:val="false"/>
          <w:iCs w:val="false"/>
          <w:sz w:val="24"/>
          <w:szCs w:val="24"/>
        </w:rPr>
        <w:t xml:space="preserve">The use of large language models for automated code generation has progressed from general-purpose function synthesis toward increasingly specialised, test-oriented applications. Chen et al. [1] established the field's reference evaluation methodology with Codex and the HumanEval benchmark, demonstrating that a decoder-only transformer trained on large code corpora attains substantial competence at function-level synthesis and popularising pass-at-k as the standard accuracy metric for generated code. Austin et al. [2] broadened this evaluation basis with MBPP, a benchmark of crowd-sourced programming problems spanning a wider range of task types than HumanEval alone. Closer to the concern of this dissertation, Liu et al. [3] examined LLM-generated unit tests specifically, showing that a model supplied with a method signature can produce tests that measurably improve code coverage — evidence that test-script generation, not only application-code generation, is within reach of current models, provided they are given adequate task grounding. StarCoder [4] and DeepSeek-Coder [5] extended the open-weight code-model landscape by training on broader multi-language corpora, yielding models that are both competitive on standard benchmarks and, unlike proprietary alternatives, available for further fine-tuning — a property this dissertation depends upon directly.</w:t>
      </w:r>
    </w:p>
    <w:p>
      <w:pPr>
        <w:spacing w:after="160" w:line="276"/>
        <w:jc w:val="both"/>
      </w:pPr>
      <w:r>
        <w:rPr>
          <w:rFonts w:ascii="Times New Roman" w:cs="Times New Roman" w:eastAsia="Times New Roman" w:hAnsi="Times New Roman"/>
          <w:b w:val="false"/>
          <w:bCs w:val="false"/>
          <w:i w:val="false"/>
          <w:iCs w:val="false"/>
          <w:sz w:val="24"/>
          <w:szCs w:val="24"/>
        </w:rPr>
        <w:t xml:space="preserve">None of this literature, however, addresses UI test-script generation for a named commercial framework with selector-level correctness as an explicit criterion: HumanEval and MBPP evaluate general-purpose function synthesis, and the unit-test generation work of Liu et al. targets arbitrary application code rather than the domain-specific object model, locator conventions, and assertion idioms of a browser-automation framework such as Cypress or Playwright.</w:t>
      </w:r>
    </w:p>
    <w:p>
      <w:pPr>
        <w:spacing w:after="160" w:line="276"/>
        <w:jc w:val="both"/>
      </w:pPr>
      <w:r>
        <w:rPr>
          <w:rFonts w:ascii="Times New Roman" w:cs="Times New Roman" w:eastAsia="Times New Roman" w:hAnsi="Times New Roman"/>
          <w:b w:val="false"/>
          <w:bCs w:val="false"/>
          <w:i w:val="false"/>
          <w:iCs w:val="false"/>
          <w:sz w:val="24"/>
          <w:szCs w:val="24"/>
        </w:rPr>
        <w:t xml:space="preserve">Because full-parameter fine-tuning of a billion-parameter model demands GPU infrastructure well beyond consumer hardware, this dissertation relies instead on parameter-efficient fine-tuning (PEFT), a family of techniques that adapts a pre-trained model to a target task by updating only a small fraction of its parameters while leaving the bulk of its pre-trained knowledge frozen. Hu et al. [6] introduced Low-Rank Adaptation (LoRA), which injects small trainable rank-decomposition matrices alongside the frozen weights of each adapted layer, cutting the number of trainable parameters by several orders of magnitude with little measurable loss of task performance. Dettmers et al. [7] extended this idea to QLoRA, quantising the frozen base model itself to 4-bit precision while training the LoRA adapters at higher precision, a combination that for the first time made fine-tuning of 7-billion-parameter-class models practical on a single consumer GPU. This is the specific technique this dissertation applies, and it is what makes on-device fine-tuning on Apple Silicon — rather than a cloud GPU cluster — a realistic option for a project of this scope.</w:t>
      </w:r>
    </w:p>
    <w:p>
      <w:pPr>
        <w:spacing w:after="160" w:line="276"/>
        <w:jc w:val="both"/>
      </w:pPr>
      <w:r>
        <w:rPr>
          <w:rFonts w:ascii="Times New Roman" w:cs="Times New Roman" w:eastAsia="Times New Roman" w:hAnsi="Times New Roman"/>
          <w:b w:val="false"/>
          <w:bCs w:val="false"/>
          <w:i w:val="false"/>
          <w:iCs w:val="false"/>
          <w:sz w:val="24"/>
          <w:szCs w:val="24"/>
        </w:rPr>
        <w:t xml:space="preserve">Yet the QLoRA literature to date has been benchmarked and validated almost exclusively on CUDA-capable NVIDIA hardware; Apple's Metal Performance Shaders (MPS) backend, which this dissertation targets, differs from CUDA in numerically significant ways — for instance in how mixed-precision gradient scaling behaves — and its suitability for producing a fine-tuned adapter of comparable quality has not been previously reported for this task.</w:t>
      </w:r>
    </w:p>
    <w:p>
      <w:pPr>
        <w:spacing w:after="160" w:line="276"/>
        <w:jc w:val="both"/>
      </w:pPr>
      <w:r>
        <w:rPr>
          <w:rFonts w:ascii="Times New Roman" w:cs="Times New Roman" w:eastAsia="Times New Roman" w:hAnsi="Times New Roman"/>
          <w:b w:val="false"/>
          <w:bCs w:val="false"/>
          <w:i w:val="false"/>
          <w:iCs w:val="false"/>
          <w:sz w:val="24"/>
          <w:szCs w:val="24"/>
        </w:rPr>
        <w:t xml:space="preserve">The third relevant body of work concerns agentic architectures, in which a model does not merely produce a single output but reasons, acts, and revises across an iterative loop, often incorporating feedback from an external tool or from its own prior attempt. Yao et al. [8] proposed ReAct, interleaving explicit reasoning traces with executable actions so that a model can invoke external tools and incorporate their results before producing a final answer. Wang et al. [9] demonstrated, with AutoGen, that two cooperating agents — one producing code and a second critiquing it — can improve code quality beyond what either agent achieves alone. Shinn et al. [10] introduced Reflexion, in which an agent inspects the outcome of a failed attempt and uses that reflection to generate a corrected subsequent attempt without any change to the underlying model weights. These three works collectively establish the conceptual template followed by the BMAD loop developed in this dissertation, in which an orchestrating process evaluates the syntactic and semantic quality of a generated script and decides, on that basis, whether to accept it or to trigger a further, feedback-guided generation attempt.</w:t>
      </w:r>
    </w:p>
    <w:p>
      <w:pPr>
        <w:spacing w:after="160" w:line="276"/>
        <w:jc w:val="both"/>
      </w:pPr>
      <w:r>
        <w:rPr>
          <w:rFonts w:ascii="Times New Roman" w:cs="Times New Roman" w:eastAsia="Times New Roman" w:hAnsi="Times New Roman"/>
          <w:b w:val="false"/>
          <w:bCs w:val="false"/>
          <w:i w:val="false"/>
          <w:iCs w:val="false"/>
          <w:sz w:val="24"/>
          <w:szCs w:val="24"/>
        </w:rPr>
        <w:t xml:space="preserve">None of these agentic frameworks, however, has been applied to the specific problem of iteratively correcting a UI test script using static-analysis feedback as the correction signal, nor evaluated with the paired statistical rigour — the same held-out items scored across every system under comparison — that this dissertation's evaluation chapter applies.</w:t>
      </w:r>
    </w:p>
    <w:p>
      <w:pPr>
        <w:spacing w:after="160" w:line="276"/>
        <w:jc w:val="both"/>
      </w:pPr>
      <w:r>
        <w:rPr>
          <w:rFonts w:ascii="Times New Roman" w:cs="Times New Roman" w:eastAsia="Times New Roman" w:hAnsi="Times New Roman"/>
          <w:b w:val="false"/>
          <w:bCs w:val="false"/>
          <w:i w:val="false"/>
          <w:iCs w:val="false"/>
          <w:sz w:val="24"/>
          <w:szCs w:val="24"/>
        </w:rPr>
        <w:t xml:space="preserve">Table 2.1 summarises the three gaps identified across this survey and states how this dissertation addresses each of them; the corresponding evidence for each closure is presented in Chapter 7.</w:t>
      </w:r>
    </w:p>
    <w:p>
      <w:pPr>
        <w:spacing w:after="240" w:before="80"/>
        <w:jc w:val="center"/>
      </w:pPr>
      <w:r>
        <w:rPr>
          <w:rFonts w:ascii="Times New Roman" w:cs="Times New Roman" w:eastAsia="Times New Roman" w:hAnsi="Times New Roman"/>
          <w:b/>
          <w:bCs/>
          <w:i/>
          <w:iCs/>
          <w:sz w:val="22"/>
          <w:szCs w:val="22"/>
        </w:rPr>
        <w:t xml:space="preserve">Table 2.1: Literature gaps and how this dissertation addresses them</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600"/>
        <w:gridCol w:w="3800"/>
        <w:gridCol w:w="3600"/>
      </w:tblGrid>
      <w:tr>
        <w:trPr>
          <w:tblHeader/>
        </w:trPr>
        <w:tc>
          <w:tcPr>
            <w:tcW w:type="dxa" w:w="2600"/>
            <w:shd w:fill="D9D9D9"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0"/>
                <w:szCs w:val="20"/>
              </w:rPr>
              <w:t xml:space="preserve">Gap</w:t>
            </w:r>
          </w:p>
        </w:tc>
        <w:tc>
          <w:tcPr>
            <w:tcW w:type="dxa" w:w="3800"/>
            <w:shd w:fill="D9D9D9"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0"/>
                <w:szCs w:val="20"/>
              </w:rPr>
              <w:t xml:space="preserve">Description</w:t>
            </w:r>
          </w:p>
        </w:tc>
        <w:tc>
          <w:tcPr>
            <w:tcW w:type="dxa" w:w="3600"/>
            <w:shd w:fill="D9D9D9"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0"/>
                <w:szCs w:val="20"/>
              </w:rPr>
              <w:t xml:space="preserve">How Addressed</w:t>
            </w:r>
          </w:p>
        </w:tc>
      </w:tr>
      <w:tr>
        <w:tc>
          <w:tcPr>
            <w:tcW w:type="dxa" w:w="26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Gap 1: No framework-idiomatic UI test-script fine-tuning</w:t>
            </w:r>
          </w:p>
        </w:tc>
        <w:tc>
          <w:tcPr>
            <w:tcW w:type="dxa" w:w="38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Prior code- and test-generation work [1, 3] evaluates general-purpose function or unit-test synthesis; none fine-tunes a model specifically on the selector conventions and assertion idioms of a named commercial UI test framework.</w:t>
            </w:r>
          </w:p>
        </w:tc>
        <w:tc>
          <w:tcPr>
            <w:tcW w:type="dxa" w:w="36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Two open-weight models were fine-tuned on a framework-isolated, 279-pair Cypress/Playwright dataset, producing framework-specific adapters evaluated against both zero-shot baselines and independent syntax validation (Chapter 7).</w:t>
            </w:r>
          </w:p>
        </w:tc>
      </w:tr>
      <w:tr>
        <w:tc>
          <w:tcPr>
            <w:tcW w:type="dxa" w:w="26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Gap 2: QLoRA feasibility unexamined on Apple Silicon</w:t>
            </w:r>
          </w:p>
        </w:tc>
        <w:tc>
          <w:tcPr>
            <w:tcW w:type="dxa" w:w="38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QLoRA and related PEFT studies [6, 7] report results exclusively on CUDA-capable GPUs; the technique's behaviour on Apple's MPS backend, including known numerical differences in mixed-precision training, is unreported.</w:t>
            </w:r>
          </w:p>
        </w:tc>
        <w:tc>
          <w:tcPr>
            <w:tcW w:type="dxa" w:w="36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All four adapters were trained to convergence on Apple M4 Pro hardware under MPS, with the specific adaptations required (bfloat16 precision, completion-only masking configuration) documented in Chapter 6.</w:t>
            </w:r>
          </w:p>
        </w:tc>
      </w:tr>
      <w:tr>
        <w:tc>
          <w:tcPr>
            <w:tcW w:type="dxa" w:w="26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Gap 3: No agentic correction loop for UI test scripts</w:t>
            </w:r>
          </w:p>
        </w:tc>
        <w:tc>
          <w:tcPr>
            <w:tcW w:type="dxa" w:w="38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Agentic self-correction frameworks [8, 9, 10] have been demonstrated for general code generation and conversational tasks, but not for the iterative, static-analysis-guided correction of UI test scripts specifically.</w:t>
            </w:r>
          </w:p>
        </w:tc>
        <w:tc>
          <w:tcPr>
            <w:tcW w:type="dxa" w:w="36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The BMAD loop was implemented and evaluated across the complete 279-story dataset for all four fine-tuned adapters, with acceptance-rate and correction-iteration outcomes reported in Chapter 7.</w:t>
            </w:r>
          </w:p>
        </w:tc>
      </w:tr>
    </w:tbl>
    <w:sectPr>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2026-07-17T19:38:35.876Z</dcterms:created>
  <dcterms:modified xsi:type="dcterms:W3CDTF">2026-07-17T19:38:35.877Z</dcterms:modified>
</cp:coreProperties>
</file>

<file path=docProps/custom.xml><?xml version="1.0" encoding="utf-8"?>
<Properties xmlns="http://schemas.openxmlformats.org/officeDocument/2006/custom-properties" xmlns:vt="http://schemas.openxmlformats.org/officeDocument/2006/docPropsVTypes"/>
</file>